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B66FC4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B66FC4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B66FC4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B66FC4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B66FC4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B66FC4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B66FC4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B66FC4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B66FC4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B66FC4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B66FC4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B66FC4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B66FC4" w:rsidRDefault="003A3F9B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>
              <w:rPr>
                <w:b/>
                <w:i/>
                <w:sz w:val="20"/>
                <w:szCs w:val="20"/>
                <w:lang w:bidi="ar-SA"/>
              </w:rPr>
              <w:t>2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8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02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C425A3">
              <w:rPr>
                <w:b/>
                <w:i/>
                <w:sz w:val="20"/>
                <w:szCs w:val="20"/>
                <w:lang w:bidi="ar-SA"/>
              </w:rPr>
              <w:t>5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B66FC4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B66FC4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2.1. Вид Общего собрания акционеров ПАО «Наука-Связь»: </w:t>
            </w:r>
            <w:r w:rsidR="00747EDF" w:rsidRPr="00B66FC4">
              <w:rPr>
                <w:b/>
                <w:i/>
                <w:color w:val="000000"/>
                <w:sz w:val="20"/>
                <w:szCs w:val="20"/>
              </w:rPr>
              <w:t>Внеочередное</w:t>
            </w:r>
            <w:r w:rsidR="00927276" w:rsidRPr="00B66FC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Общее собрание акционеров.</w:t>
            </w:r>
          </w:p>
          <w:p w:rsidR="00BB76DB" w:rsidRPr="00B66FC4" w:rsidRDefault="00BB76DB" w:rsidP="00BB76D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2.2. Форма проведения Общего собрания акционеров ПАО «Наука-Связь»: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заочное голосование.</w:t>
            </w:r>
          </w:p>
          <w:p w:rsidR="00720EAE" w:rsidRPr="00B66FC4" w:rsidRDefault="00BB76DB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2.3. Дата, место, время проведения Общего собрания акционеров ПАО «Наука-Связь»: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дата проведения общего собрания (дата окончания приема заполненных бюлл</w:t>
            </w:r>
            <w:r w:rsidR="00E002D9"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етеней): </w:t>
            </w:r>
            <w:r w:rsidR="003A3F9B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 w:rsidR="003A3F9B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.202</w:t>
            </w:r>
            <w:r w:rsidR="00C425A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г., 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почтовый адрес, по которому направлялись </w:t>
            </w:r>
            <w:r w:rsidR="00F9419E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(могли направляться)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заполненные бюллетени: Российская Федерация, 127287, г. Москва, 2-я Хуторская ул., д.38А., строение 15, ПАО «Наука-Связь»</w:t>
            </w:r>
            <w:r w:rsidR="009D1B3C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(ВОСА)</w:t>
            </w:r>
            <w:r w:rsidR="00A113B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40980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2.4. </w:t>
            </w:r>
            <w:r w:rsidR="001F4593" w:rsidRPr="00B66FC4">
              <w:rPr>
                <w:color w:val="000000"/>
                <w:sz w:val="20"/>
                <w:szCs w:val="20"/>
              </w:rPr>
              <w:t>Сведения о к</w:t>
            </w:r>
            <w:r w:rsidRPr="00B66FC4">
              <w:rPr>
                <w:color w:val="000000"/>
                <w:sz w:val="20"/>
                <w:szCs w:val="20"/>
              </w:rPr>
              <w:t>ворум</w:t>
            </w:r>
            <w:r w:rsidR="001F4593" w:rsidRPr="00B66FC4">
              <w:rPr>
                <w:color w:val="000000"/>
                <w:sz w:val="20"/>
                <w:szCs w:val="20"/>
              </w:rPr>
              <w:t>е</w:t>
            </w:r>
            <w:r w:rsidRPr="00B66FC4">
              <w:rPr>
                <w:color w:val="000000"/>
                <w:sz w:val="20"/>
                <w:szCs w:val="20"/>
              </w:rPr>
              <w:t xml:space="preserve"> Общего собрания акционеров ПАО «Наука-Связь»:</w:t>
            </w:r>
          </w:p>
          <w:p w:rsidR="003A3F9B" w:rsidRDefault="00C425A3" w:rsidP="00B40980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По первому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37"/>
              <w:gridCol w:w="2291"/>
            </w:tblGrid>
            <w:tr w:rsidR="00C425A3" w:rsidRPr="00405AF9" w:rsidTr="0043654A">
              <w:trPr>
                <w:cantSplit/>
                <w:trHeight w:val="558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C425A3" w:rsidRPr="00405AF9" w:rsidTr="0043654A">
              <w:trPr>
                <w:cantSplit/>
                <w:trHeight w:val="791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C425A3" w:rsidRPr="00405AF9" w:rsidTr="0043654A">
              <w:trPr>
                <w:cantSplit/>
                <w:trHeight w:val="542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keepNext/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keepNext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C425A3">
                    <w:rPr>
                      <w:sz w:val="20"/>
                      <w:szCs w:val="20"/>
                    </w:rPr>
                    <w:t>14 968 415</w:t>
                  </w:r>
                </w:p>
              </w:tc>
            </w:tr>
            <w:tr w:rsidR="00C425A3" w:rsidRPr="00405AF9" w:rsidTr="0043654A">
              <w:trPr>
                <w:cantSplit/>
                <w:trHeight w:val="310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05AF9">
                    <w:rPr>
                      <w:b/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C425A3" w:rsidRDefault="00C425A3" w:rsidP="00C425A3">
                  <w:pPr>
                    <w:spacing w:before="40" w:after="4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C425A3">
                    <w:rPr>
                      <w:b/>
                      <w:sz w:val="20"/>
                      <w:szCs w:val="20"/>
                    </w:rPr>
                    <w:t>Имеется (95,33%)</w:t>
                  </w:r>
                </w:p>
              </w:tc>
            </w:tr>
          </w:tbl>
          <w:p w:rsidR="00C425A3" w:rsidRDefault="00C425A3" w:rsidP="00B40980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По второму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37"/>
              <w:gridCol w:w="2291"/>
            </w:tblGrid>
            <w:tr w:rsidR="00C425A3" w:rsidRPr="00405AF9" w:rsidTr="0043654A">
              <w:trPr>
                <w:cantSplit/>
                <w:trHeight w:val="558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C425A3" w:rsidRPr="00405AF9" w:rsidTr="0043654A">
              <w:trPr>
                <w:cantSplit/>
                <w:trHeight w:val="791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  <w:lang w:val="en-US"/>
                    </w:rPr>
                    <w:t>15 701 542</w:t>
                  </w:r>
                </w:p>
              </w:tc>
            </w:tr>
            <w:tr w:rsidR="00C425A3" w:rsidRPr="00405AF9" w:rsidTr="0043654A">
              <w:trPr>
                <w:cantSplit/>
                <w:trHeight w:val="542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keepNext/>
                    <w:spacing w:before="40" w:after="40"/>
                    <w:jc w:val="both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keepNext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405AF9">
                    <w:rPr>
                      <w:sz w:val="20"/>
                      <w:szCs w:val="20"/>
                      <w:lang w:val="en-US"/>
                    </w:rPr>
                    <w:t>14 968 415</w:t>
                  </w:r>
                </w:p>
              </w:tc>
            </w:tr>
            <w:tr w:rsidR="00C425A3" w:rsidRPr="00405AF9" w:rsidTr="0043654A">
              <w:trPr>
                <w:cantSplit/>
                <w:trHeight w:val="310"/>
              </w:trPr>
              <w:tc>
                <w:tcPr>
                  <w:tcW w:w="8237" w:type="dxa"/>
                </w:tcPr>
                <w:p w:rsidR="00C425A3" w:rsidRPr="00405AF9" w:rsidRDefault="00C425A3" w:rsidP="00C425A3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405AF9">
                    <w:rPr>
                      <w:b/>
                      <w:sz w:val="20"/>
                      <w:szCs w:val="20"/>
                    </w:rPr>
                    <w:t>Наличие кворума:</w:t>
                  </w:r>
                </w:p>
              </w:tc>
              <w:tc>
                <w:tcPr>
                  <w:tcW w:w="2291" w:type="dxa"/>
                  <w:vAlign w:val="bottom"/>
                </w:tcPr>
                <w:p w:rsidR="00C425A3" w:rsidRPr="00405AF9" w:rsidRDefault="00C425A3" w:rsidP="00C425A3">
                  <w:pPr>
                    <w:spacing w:before="40" w:after="40"/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5AF9">
                    <w:rPr>
                      <w:b/>
                      <w:sz w:val="20"/>
                      <w:szCs w:val="20"/>
                      <w:lang w:val="en-US"/>
                    </w:rPr>
                    <w:t>Имеется</w:t>
                  </w:r>
                  <w:proofErr w:type="spellEnd"/>
                  <w:r w:rsidRPr="00405AF9">
                    <w:rPr>
                      <w:b/>
                      <w:sz w:val="20"/>
                      <w:szCs w:val="20"/>
                      <w:lang w:val="en-US"/>
                    </w:rPr>
                    <w:t xml:space="preserve"> (95,33%)</w:t>
                  </w:r>
                </w:p>
              </w:tc>
            </w:tr>
          </w:tbl>
          <w:p w:rsidR="00C425A3" w:rsidRPr="00B66FC4" w:rsidRDefault="00C425A3" w:rsidP="00B40980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A3F9B" w:rsidRPr="00B66FC4" w:rsidRDefault="003A3F9B" w:rsidP="006B659E">
            <w:pPr>
              <w:rPr>
                <w:vanish/>
                <w:sz w:val="20"/>
                <w:szCs w:val="20"/>
              </w:rPr>
            </w:pPr>
          </w:p>
          <w:p w:rsidR="00B40980" w:rsidRPr="00B66FC4" w:rsidRDefault="00B40980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B66FC4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B66FC4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B66FC4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2.5. Повестка дня Общего собрания акционеров ПАО «Наука-Связь»:</w:t>
            </w:r>
          </w:p>
          <w:p w:rsidR="00C425A3" w:rsidRPr="00C425A3" w:rsidRDefault="00C425A3" w:rsidP="00C425A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C425A3">
              <w:rPr>
                <w:b/>
                <w:i/>
                <w:color w:val="000000"/>
                <w:sz w:val="20"/>
                <w:szCs w:val="20"/>
              </w:rPr>
              <w:t>1. О последующем одобрении крупной сделки, а именно – заключение Генерального соглашения об открытии возобновляемой рамочной кредитной линии с дифференцированными процентными ставками № 400</w:t>
            </w:r>
            <w:r w:rsidRPr="00C425A3">
              <w:rPr>
                <w:b/>
                <w:i/>
                <w:color w:val="000000"/>
                <w:sz w:val="20"/>
                <w:szCs w:val="20"/>
                <w:lang w:val="en-US"/>
              </w:rPr>
              <w:t>E</w:t>
            </w:r>
            <w:r w:rsidRPr="00C425A3">
              <w:rPr>
                <w:b/>
                <w:i/>
                <w:color w:val="000000"/>
                <w:sz w:val="20"/>
                <w:szCs w:val="20"/>
              </w:rPr>
              <w:t>014</w:t>
            </w:r>
            <w:r w:rsidRPr="00C425A3">
              <w:rPr>
                <w:b/>
                <w:i/>
                <w:color w:val="000000"/>
                <w:sz w:val="20"/>
                <w:szCs w:val="20"/>
                <w:lang w:val="en-US"/>
              </w:rPr>
              <w:t>OHMF</w:t>
            </w:r>
            <w:r w:rsidRPr="00C425A3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C425A3" w:rsidRPr="00C425A3" w:rsidRDefault="00C425A3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C425A3">
              <w:rPr>
                <w:b/>
                <w:i/>
                <w:color w:val="000000"/>
                <w:sz w:val="20"/>
                <w:szCs w:val="20"/>
              </w:rPr>
              <w:t>2. О последующем одобрении крупной сделки, а именно – заключение дополнительного соглашения № 2 к Генеральному соглашению об открытии возобновляемой рамочной кредитной линии с дифференцированными процентными ставками № 400</w:t>
            </w:r>
            <w:r w:rsidRPr="00C425A3">
              <w:rPr>
                <w:b/>
                <w:i/>
                <w:color w:val="000000"/>
                <w:sz w:val="20"/>
                <w:szCs w:val="20"/>
                <w:lang w:val="en-US"/>
              </w:rPr>
              <w:t>E</w:t>
            </w:r>
            <w:r w:rsidRPr="00C425A3">
              <w:rPr>
                <w:b/>
                <w:i/>
                <w:color w:val="000000"/>
                <w:sz w:val="20"/>
                <w:szCs w:val="20"/>
              </w:rPr>
              <w:t>00</w:t>
            </w:r>
            <w:r w:rsidRPr="00C425A3">
              <w:rPr>
                <w:b/>
                <w:i/>
                <w:color w:val="000000"/>
                <w:sz w:val="20"/>
                <w:szCs w:val="20"/>
                <w:lang w:val="en-US"/>
              </w:rPr>
              <w:t>P</w:t>
            </w:r>
            <w:r w:rsidRPr="00C425A3">
              <w:rPr>
                <w:b/>
                <w:i/>
                <w:color w:val="000000"/>
                <w:sz w:val="20"/>
                <w:szCs w:val="20"/>
              </w:rPr>
              <w:t>1</w:t>
            </w:r>
            <w:r w:rsidRPr="00C425A3">
              <w:rPr>
                <w:b/>
                <w:i/>
                <w:color w:val="000000"/>
                <w:sz w:val="20"/>
                <w:szCs w:val="20"/>
                <w:lang w:val="en-US"/>
              </w:rPr>
              <w:t>TMF</w:t>
            </w:r>
            <w:r w:rsidRPr="00C425A3">
              <w:rPr>
                <w:b/>
                <w:i/>
                <w:color w:val="000000"/>
                <w:sz w:val="20"/>
                <w:szCs w:val="20"/>
              </w:rPr>
              <w:t xml:space="preserve"> от 10.11.2023 г.</w:t>
            </w:r>
          </w:p>
          <w:p w:rsidR="000063FE" w:rsidRPr="00B66FC4" w:rsidRDefault="00720EAE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2.6. Результаты голосования по вопросам повестки дня Общего собрания акционеров ПАО «Наука-Связь», по которым имелся кворум:</w:t>
            </w:r>
          </w:p>
          <w:p w:rsidR="00C425A3" w:rsidRPr="00C425A3" w:rsidRDefault="00C425A3" w:rsidP="00C425A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425A3">
              <w:rPr>
                <w:b/>
                <w:bCs/>
                <w:color w:val="000000"/>
                <w:sz w:val="20"/>
                <w:szCs w:val="20"/>
              </w:rPr>
              <w:t xml:space="preserve">Итоги голосования по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первому </w:t>
            </w:r>
            <w:r w:rsidRPr="00C425A3">
              <w:rPr>
                <w:b/>
                <w:bCs/>
                <w:color w:val="000000"/>
                <w:sz w:val="20"/>
                <w:szCs w:val="20"/>
              </w:rPr>
              <w:t>вопросу повестки дня:</w:t>
            </w: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"/>
              <w:gridCol w:w="1603"/>
              <w:gridCol w:w="1603"/>
              <w:gridCol w:w="1603"/>
              <w:gridCol w:w="1603"/>
              <w:gridCol w:w="1603"/>
              <w:gridCol w:w="1604"/>
            </w:tblGrid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8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Недейств</w:t>
                  </w:r>
                  <w:proofErr w:type="spellEnd"/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и </w:t>
                  </w:r>
                </w:p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604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1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14 968 415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14 968 355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4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6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4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C425A3" w:rsidRPr="00C425A3" w:rsidRDefault="00C425A3" w:rsidP="00C425A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425A3">
              <w:rPr>
                <w:b/>
                <w:bCs/>
                <w:color w:val="000000"/>
                <w:sz w:val="20"/>
                <w:szCs w:val="20"/>
              </w:rPr>
              <w:t xml:space="preserve">Итоги голосования по </w:t>
            </w:r>
            <w:r>
              <w:rPr>
                <w:b/>
                <w:bCs/>
                <w:color w:val="000000"/>
                <w:sz w:val="20"/>
                <w:szCs w:val="20"/>
              </w:rPr>
              <w:t>второму</w:t>
            </w:r>
            <w:r w:rsidRPr="00C425A3">
              <w:rPr>
                <w:b/>
                <w:bCs/>
                <w:color w:val="000000"/>
                <w:sz w:val="20"/>
                <w:szCs w:val="20"/>
              </w:rPr>
              <w:t xml:space="preserve"> вопросу повестки дня:</w:t>
            </w: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"/>
              <w:gridCol w:w="1603"/>
              <w:gridCol w:w="1603"/>
              <w:gridCol w:w="1603"/>
              <w:gridCol w:w="1603"/>
              <w:gridCol w:w="1603"/>
              <w:gridCol w:w="1604"/>
            </w:tblGrid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8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603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Недейств</w:t>
                  </w:r>
                  <w:proofErr w:type="spellEnd"/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и </w:t>
                  </w:r>
                </w:p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604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1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14 968 415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14 968 355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4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425A3" w:rsidRPr="00C425A3" w:rsidTr="0043654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6"/>
              </w:trPr>
              <w:tc>
                <w:tcPr>
                  <w:tcW w:w="911" w:type="dxa"/>
                  <w:vAlign w:val="center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3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04" w:type="dxa"/>
                  <w:vAlign w:val="bottom"/>
                </w:tcPr>
                <w:p w:rsidR="00C425A3" w:rsidRPr="00C425A3" w:rsidRDefault="00C425A3" w:rsidP="00C425A3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25A3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F128F0" w:rsidRPr="00B66FC4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2.7. Формулировки решений, принятых Общим собранием акционеров ПАО «Наука-Связь»</w:t>
            </w:r>
            <w:r w:rsidR="001F4593" w:rsidRPr="00B66FC4">
              <w:rPr>
                <w:color w:val="000000"/>
                <w:sz w:val="20"/>
                <w:szCs w:val="20"/>
              </w:rPr>
              <w:t xml:space="preserve"> по указанным вопросам</w:t>
            </w:r>
            <w:r w:rsidRPr="00B66FC4">
              <w:rPr>
                <w:color w:val="000000"/>
                <w:sz w:val="20"/>
                <w:szCs w:val="20"/>
              </w:rPr>
              <w:t>:</w:t>
            </w:r>
          </w:p>
          <w:p w:rsidR="000441EA" w:rsidRDefault="000441EA" w:rsidP="000441EA">
            <w:pPr>
              <w:rPr>
                <w:b/>
                <w:bCs/>
                <w:sz w:val="20"/>
                <w:szCs w:val="20"/>
              </w:rPr>
            </w:pPr>
            <w:r w:rsidRPr="00B66FC4">
              <w:rPr>
                <w:b/>
                <w:bCs/>
                <w:sz w:val="20"/>
                <w:szCs w:val="20"/>
              </w:rPr>
              <w:t>По первому вопросу повестки дня: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i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1. Одобрить заключение ПАО «Наука-Связь» (Заемщик) с ПАО Сбербанк (Кредитор) крупной сделки, а именно – заключение </w:t>
            </w:r>
            <w:r w:rsidRPr="00C425A3">
              <w:rPr>
                <w:bCs/>
                <w:iCs/>
                <w:sz w:val="20"/>
                <w:szCs w:val="20"/>
              </w:rPr>
              <w:t>Генерального соглашения об открытии возобновляемой рамочной кредитной линии с дифференцированными процентными ставками № 400E014OHMF (далее – Соглашение) на следующих условиях: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  <w:u w:val="single"/>
              </w:rPr>
            </w:pPr>
            <w:r w:rsidRPr="00C425A3">
              <w:rPr>
                <w:bCs/>
                <w:i/>
                <w:iCs/>
                <w:sz w:val="20"/>
                <w:szCs w:val="20"/>
              </w:rPr>
              <w:t xml:space="preserve">- Целевое назначение кредита: </w:t>
            </w:r>
            <w:r w:rsidRPr="00C425A3">
              <w:rPr>
                <w:bCs/>
                <w:sz w:val="20"/>
                <w:szCs w:val="20"/>
              </w:rPr>
              <w:t>в целях использования на: предоставление займов для осуществления текущей и контрактной деятельности компаниям: ООО ВЕГАМАШПРОЕКТ, ООО АВТОМАТИЗАЦИЯ И ТЕЛЕКОММУНИКАЦИИ, ООО ВЕГА-ГАЗ, ООО НАУКА-СВЯЗЬ, ООО ЭЛЕКТРОЩИТ, ООО ЦИФРОВЫЕ ПЛАТФОРМЫ.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i/>
                <w:iCs/>
                <w:sz w:val="20"/>
                <w:szCs w:val="20"/>
              </w:rPr>
              <w:t xml:space="preserve">- Размер кредита: </w:t>
            </w:r>
            <w:r w:rsidRPr="00C425A3">
              <w:rPr>
                <w:bCs/>
                <w:sz w:val="20"/>
                <w:szCs w:val="20"/>
              </w:rPr>
              <w:t>1 800 000 000 (Один миллиард восемьсот миллионов) рублей.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i/>
                <w:iCs/>
                <w:sz w:val="20"/>
                <w:szCs w:val="20"/>
              </w:rPr>
              <w:t xml:space="preserve">- Срок кредитования: </w:t>
            </w:r>
            <w:r w:rsidRPr="00C425A3">
              <w:rPr>
                <w:bCs/>
                <w:sz w:val="20"/>
                <w:szCs w:val="20"/>
              </w:rPr>
              <w:t>по 10 июня 2026 г.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Иные сроки и порядок предоставления и погашения кредитной линии (кредита), срок доступности и др., определяются уполномоченным на подписание Соглашения (дополнительных соглашений к Соглашению) лицами Общества по согласованию с Кредитором (с правом дальнейшего изменения указанных условий Соглашения без получения одобрения коллегиальных органов управления Общества).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i/>
                <w:iCs/>
                <w:sz w:val="20"/>
                <w:szCs w:val="20"/>
              </w:rPr>
              <w:t xml:space="preserve">- Размер процентной ставки: </w:t>
            </w:r>
            <w:r w:rsidRPr="00C425A3">
              <w:rPr>
                <w:bCs/>
                <w:sz w:val="20"/>
                <w:szCs w:val="20"/>
              </w:rPr>
              <w:t>По Соглашению устанавливается следующий порядок определения процентной ставки: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Заемщик уплачивает Кредитору проценты за пользование кредитами по заключаемым в рамках Соглашения Кредитным сделкам по фиксированной процентной ставке на условиях, установленных в разделе «Общие условия по процентам и комиссионным платежам по Кредитным сделкам» Общих условий.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Общий размер Дополнительной части процентной ставки по каждой Кредитной сделке при наступлении нескольких случаев оснований ее применения (при наступлении нескольких обстоятельств и/или событий, и/или при неисполнении (ненадлежащем исполнении) нескольких обязанностей) не может превышать 2 (Двух) процентов годовых.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Порядок начисления и уплаты Дополнительной части процентной ставки определяется в соответствии с п. 7.1.2 Общих условий.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Проценты начисляются на сумму фактической ссудной задолженности по кредиту начиная с даты, следующей за датой образования задолженности по ссудному(</w:t>
            </w:r>
            <w:proofErr w:type="spellStart"/>
            <w:r w:rsidRPr="00C425A3">
              <w:rPr>
                <w:bCs/>
                <w:sz w:val="20"/>
                <w:szCs w:val="20"/>
              </w:rPr>
              <w:t>ым</w:t>
            </w:r>
            <w:proofErr w:type="spellEnd"/>
            <w:r w:rsidRPr="00C425A3">
              <w:rPr>
                <w:bCs/>
                <w:sz w:val="20"/>
                <w:szCs w:val="20"/>
              </w:rPr>
              <w:t>) счету(</w:t>
            </w:r>
            <w:proofErr w:type="spellStart"/>
            <w:r w:rsidRPr="00C425A3">
              <w:rPr>
                <w:bCs/>
                <w:sz w:val="20"/>
                <w:szCs w:val="20"/>
              </w:rPr>
              <w:t>ам</w:t>
            </w:r>
            <w:proofErr w:type="spellEnd"/>
            <w:r w:rsidRPr="00C425A3">
              <w:rPr>
                <w:bCs/>
                <w:sz w:val="20"/>
                <w:szCs w:val="20"/>
              </w:rPr>
              <w:t>) (включительно), и по дату полного погашения кредита (включительно).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Уплата процентов производится в следующем порядке: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если срок кредитования по Кредитной сделке составляет 45 (Сорок пять) и менее календарных дней: в Дату возврата (погашения) кредита, указанную в Подтверждении по Кредитной сделке, или в дату полного погашения кредита, осуществленного ранее установленного по Кредитной сделке срока, в сумме начисленных на указанную дату процентов (включительно);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если срок кредитования по Кредитной сделке составляет более 45 (Сорока пяти) календарных дней: ежемесячно «20» числа каждого календарного месяца и в Дату возврата (погашения) кредита, указанную в Подтверждении по Кредитной сделке, или в дату полного погашения кредита, осуществленного ранее установленного по Кредитной сделке срока, в сумме начисленных на указанные даты процентов (включительно).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В случае несвоевременного погашения кредита (просрочки) на сумму непогашенного в срок кредита проценты не начисляются начиная с даты, следующей за Датой возврата (погашения) кредита, указанной в Подтверждении по Кредитной сделке (включительно) или требовании о досрочном возврате кредита.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При погашении кредита (полностью или частично) по Кредитной сделке ранее Даты возврата (погашения) кредита, указанной в Подтверждении, Заемщик уплачивает Кредитору плату за досрочный возврат кредита.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Плата начисляется в размере 0,05 (Ноль целых пять сотых) процента годовых. Порядок начисления и уплаты платы за досрочный возврат кредита определены в разделе «Общие условия по процентам и комиссионным платежам по Кредитным сделкам» Общих условий.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Плата за досрочный возврат кредита уплачивается в Валюте кредита.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Плата за досрочный возврат кредита не взимается: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− в случаях, указанных в Соглашении.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Прочие условия Соглашения, не утвержденные настоящим протоколом, в том числе условия, нарушение которых влечет возникновение у Кредитора права требования досрочного возврата всей суммы кредита (а также уплаты причитающихся процентов за пользование кредитом, неустоек и других платежей, предусмотренных Соглашением), не относятся к существенным условиям Соглашения и должны быть определены единоличным исполнительным органом Общества самостоятельно (по своему усмотрению), на указанные действия и на соблюдение всех формальностей, связанных с этим, настоящим протоколом единоличному исполнительному органу Общества предоставляются соответствующие полномочия. </w:t>
            </w:r>
          </w:p>
          <w:p w:rsidR="00C425A3" w:rsidRPr="00C425A3" w:rsidRDefault="00C425A3" w:rsidP="00C425A3">
            <w:pPr>
              <w:keepNext/>
              <w:keepLines/>
              <w:widowControl/>
              <w:suppressAutoHyphens w:val="0"/>
              <w:ind w:firstLine="567"/>
              <w:jc w:val="both"/>
              <w:rPr>
                <w:b/>
                <w:sz w:val="20"/>
                <w:szCs w:val="20"/>
                <w:lang w:bidi="ar-SA"/>
              </w:rPr>
            </w:pPr>
            <w:r w:rsidRPr="00C425A3">
              <w:rPr>
                <w:bCs/>
                <w:sz w:val="20"/>
                <w:szCs w:val="20"/>
              </w:rPr>
              <w:t>2. Предоставить Генеральному директору ПАО «Наука-Связь» Калинину Алексею Александровичу полномочия на заключение от имени Общества соответствующей сделки в целях исполнения настоящего решения.</w:t>
            </w:r>
          </w:p>
          <w:p w:rsidR="00C425A3" w:rsidRPr="00C425A3" w:rsidRDefault="00C425A3" w:rsidP="00C425A3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C425A3">
              <w:rPr>
                <w:b/>
                <w:bCs/>
                <w:color w:val="000000"/>
                <w:spacing w:val="-8"/>
                <w:sz w:val="20"/>
                <w:szCs w:val="20"/>
              </w:rPr>
              <w:t xml:space="preserve">По </w:t>
            </w:r>
            <w:r>
              <w:rPr>
                <w:b/>
                <w:bCs/>
                <w:color w:val="000000"/>
                <w:spacing w:val="-8"/>
                <w:sz w:val="20"/>
                <w:szCs w:val="20"/>
              </w:rPr>
              <w:t>второму</w:t>
            </w:r>
            <w:r w:rsidRPr="00C425A3">
              <w:rPr>
                <w:b/>
                <w:bCs/>
                <w:color w:val="000000"/>
                <w:spacing w:val="-8"/>
                <w:sz w:val="20"/>
                <w:szCs w:val="20"/>
              </w:rPr>
              <w:t xml:space="preserve"> вопросу повестки дня:</w:t>
            </w:r>
          </w:p>
          <w:p w:rsidR="00C425A3" w:rsidRPr="00C425A3" w:rsidRDefault="00C425A3" w:rsidP="00C425A3">
            <w:pPr>
              <w:widowControl/>
              <w:suppressAutoHyphens w:val="0"/>
              <w:ind w:right="92"/>
              <w:jc w:val="both"/>
              <w:rPr>
                <w:bCs/>
                <w:i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1. Одобрить заключение ПАО «Наука-Связь» (Заемщик) с ПАО Сбербанк (Кредитор) крупной сделки, а именно – заключение </w:t>
            </w:r>
            <w:r w:rsidRPr="00C425A3">
              <w:rPr>
                <w:bCs/>
                <w:iCs/>
                <w:sz w:val="20"/>
                <w:szCs w:val="20"/>
              </w:rPr>
              <w:t>дополнительного соглашения № 2 к Генеральному соглашению об открытии возобновляемой рамочной кредитной линии с дифференцированными процентными ставками № 400E00P1TMF от 10.11.2023 г. на следующих условиях: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1.</w:t>
            </w:r>
            <w:r w:rsidRPr="00C425A3">
              <w:rPr>
                <w:bCs/>
                <w:sz w:val="20"/>
                <w:szCs w:val="20"/>
              </w:rPr>
              <w:tab/>
              <w:t>Внести изменения в Генеральное соглашение об открытии возобновляемой рамочной кредитной линии с дифференцированными процентными ставками № 400E00P1TMF от «10» ноября 2023 г., с учетом всех дополнительных соглашений к нему, именуемый в дальнейшем «Соглашение»: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1.1.</w:t>
            </w:r>
            <w:r w:rsidRPr="00C425A3">
              <w:rPr>
                <w:bCs/>
                <w:sz w:val="20"/>
                <w:szCs w:val="20"/>
              </w:rPr>
              <w:tab/>
              <w:t>Пункт 4.3 Соглашения изложить в следующей редакции: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«4.3. Заемщик уплачивает Кредитору проценты за пользование кредитами по заключаемым в рамках Соглашения Кредитным сделкам по плавающей процентной ставке на условиях, установленных в разделе «Общие условия предоставления кредитов» Общих условий.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Размер плавающей процентной ставки при заключении очередной Кредитной сделки не может превышать Максимальную процентную ставку: размер действующей ключевой ставки Банка России (плавающая составляющая), увеличенный на 7,5 (Семь целых пять десятых) процента годовых (Максимальная маржа).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В случае изменения Банком России ключевой ставки в течение срока действия Кредитной сделки размер Максимальной процентной ставки по Кредитной сделке определяется исходя из актуального размера действующей ключевой ставки Банка России плюс Максимальная маржа.»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1.2.</w:t>
            </w:r>
            <w:r w:rsidRPr="00C425A3">
              <w:rPr>
                <w:bCs/>
                <w:sz w:val="20"/>
                <w:szCs w:val="20"/>
              </w:rPr>
              <w:tab/>
              <w:t>Пункт 5.4 Соглашения изложить в следующей редакции: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«5.4. При погашении кредита (полностью или частично) по Кредитной сделке ранее Даты возврата (погашения) кредита, указанной в Подтверждении, Заемщик уплачивает Кредитору плату за досрочный возврат кредита.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Плата начисляется в размере 0,05 (Ноль целых пять сотых) процента годовых. Порядок начисления и уплаты платы за досрочный возврат кредита определены в разделе «Общие условия по процентам и комиссионным платежам по Кредитным сделкам» Общих условий.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Плата за досрочный возврат кредита уплачивается в Валюте кредита. Плата за досрочный возврат кредита не взимается: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 xml:space="preserve">− в случае осуществления досрочного погашения сумм кредита, если период с даты фактического погашения (не включая эту дату), а при погашении в соответствии с п. 8.12 Общих условий - с даты получения Кредитором письменного заявления Заемщика (не включая эту дату), по дату погашения, указанную в Подтверждении по Кредитной сделке (включительно), не превышает 30 (Тридцать) календарных дней; 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− в случаях, указанных в Соглашении.»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1.3.</w:t>
            </w:r>
            <w:r w:rsidRPr="00C425A3">
              <w:rPr>
                <w:bCs/>
                <w:sz w:val="20"/>
                <w:szCs w:val="20"/>
              </w:rPr>
              <w:tab/>
              <w:t>Пункт 8 Приложения «Отлагательные условия заключения Кредитных сделок» Соглашения изложить в следующей редакции: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«8. На дату выдачи любой суммы кредита по Договору общая ссудная задолженность по всем кредитным обязательствам компаниям группы (кредиты, займы и обязательства по лизингу), не должна превышать 3 900 000 000 (Три миллиона девятьсот тысяч) рублей.»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1.4.</w:t>
            </w:r>
            <w:r w:rsidRPr="00C425A3">
              <w:rPr>
                <w:bCs/>
                <w:sz w:val="20"/>
                <w:szCs w:val="20"/>
              </w:rPr>
              <w:tab/>
              <w:t>Дополнить Статью 10 «Особые условия» Соглашения пунктом 10.7 следующего содержания: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«10.7. Предоставление отсрочки корпоративного одобрения условий: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ООО «НАУКА-СВЯЗЬ» – не позднее 45 (Сорока пяти) календарных дней с даты заключения Дополнительного соглашения к Договору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ПАО «НАУКА-СВЯЗЬ» – не позднее 60 (Шестидесяти) календарных дней с даты заключения Дополнительного соглашения к Договору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ООО «ЦИФРОВЫЕ ПЛАТФОРМЫ» – не позднее 45 (Сорока пяти) календарных дней с даты заключения Дополнительного соглашения к Договору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ООО «АВТЕЛКОМ» – не позднее 45 (Сорока пяти) календарных дней с даты заключения Дополнительного соглашения к Договору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ООО «ВЕГА-ГАЗ» – не позднее 45 (Сорока пяти) календарных дней с даты заключения Дополнительного соглашения к Договору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- ООО «ЭЛЕКТРОЩИТ» – не позднее 45 (Сорока пяти) календарных дней с даты заключения Дополнительного соглашения к Договору.»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2. Заемщик заверяет и гарантирует, что квалифицированный сертификат ключа проверки электронной подписи уполномоченного лица Заемщика с использованием которой подписывается Дополнительное соглашение, действителен, не содержит ограничений его использования в рамках настоящего Дополнительного соглашения, выдан аккредитованным удостоверяющим центром, аккредитация которого действительна на день выдачи указанного сертификата, не отозвана на дату подписания Дополнительного соглашения,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подписи,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информацией, содержащейся в квалифицированном сертификате ключа проверки электронной подписи.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3. Дополнительное соглашение  оформлено в виде электронного документа, подписанного усиленными квалифицированными электронными подписями уполномоченных лиц Кредитора и Заемщика, и в соответствии со ст. 6 Федерального закона от 06 апреля 2011 г. № 63-ФЗ «Об электронной подписи» признается равнозначным Дополнительному соглашению, оформленному на бумажном носителе, подписанному собственноручными подписями уполномоченных лиц Кредитора и Заемщика и заверенному печатями Сторон, и в случае возникновения споров из Дополнительного соглашения является надлежащим доказательством.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Дополнительное соглашение считается заключенным после его подписания усиленной квалифицированной электронной подписью уполномоченного лица Кредитора, квалифицированный сертификат ключа проверки электронной подписи которого выдан Удостоверяющим центром Кредитора, и усиленной квалифицированной электронной подписью уполномоченного лица Заемщика, квалифицированный сертификат ключа проверки электронной подписи которого выдан Удостоверяющим центром ФНС России и при этом датой заключения Дополнительного соглашения  является дата его подписания последней из Сторон.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Стороны признают, что протокол подписания и передачи документа в электронном виде, содержащий информацию о квалифицированных сертификатах ключей проверки электронной подписи Сторон на Дополнительном соглашении, является документальным подтверждением факта подписания Дополнительного соглашения уполномоченными лицами Сторон и является надлежащим доказательством заключения Дополнительного соглашения.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4. Настоящее Дополнительное соглашение является неотъемлемой частью Договора.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5. Иные положения Договора, не измененные настоящим Дополнительным соглашением, действуют в редакции, установленной Сторонами в Договоре.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6. В случае наличия противоречий между условиями Договора и Дополнительного соглашения применяются условия Дополнительного соглашения.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7. Если прямо не указано иное, термины по тексту Дополнительного соглашения используются в значении, которое они имеют в Договоре.</w:t>
            </w:r>
          </w:p>
          <w:p w:rsidR="00C425A3" w:rsidRPr="00C425A3" w:rsidRDefault="00C425A3" w:rsidP="00C425A3">
            <w:pPr>
              <w:widowControl/>
              <w:suppressAutoHyphens w:val="0"/>
              <w:ind w:right="92" w:firstLine="321"/>
              <w:jc w:val="both"/>
              <w:rPr>
                <w:bCs/>
                <w:sz w:val="20"/>
                <w:szCs w:val="20"/>
              </w:rPr>
            </w:pPr>
            <w:r w:rsidRPr="00C425A3">
              <w:rPr>
                <w:bCs/>
                <w:sz w:val="20"/>
                <w:szCs w:val="20"/>
              </w:rPr>
              <w:t>8. Настоящее Дополнительное соглашение вступает в силу с даты заключения его Сторонами.</w:t>
            </w:r>
          </w:p>
          <w:p w:rsidR="00C425A3" w:rsidRPr="00C425A3" w:rsidRDefault="00C425A3" w:rsidP="00C425A3">
            <w:pPr>
              <w:widowControl/>
              <w:suppressAutoHyphens w:val="0"/>
              <w:spacing w:after="60"/>
              <w:jc w:val="both"/>
              <w:rPr>
                <w:b/>
                <w:sz w:val="20"/>
                <w:szCs w:val="20"/>
                <w:lang w:bidi="ar-SA"/>
              </w:rPr>
            </w:pPr>
            <w:r w:rsidRPr="00C425A3">
              <w:rPr>
                <w:bCs/>
                <w:sz w:val="20"/>
                <w:szCs w:val="20"/>
              </w:rPr>
              <w:t>2. Предоставить Генеральному директору ПАО «Наука-Связь» Калинину Алексею Александровичу полномочия на заключение от имени Общества соответствующей сделки в целях исполнения настоящего решения.</w:t>
            </w:r>
          </w:p>
          <w:p w:rsidR="00720EAE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2.8. Дата составления и номер Протокола Общего собрания акционеров ПАО «Наука-Связь»:</w:t>
            </w:r>
            <w:r w:rsidR="00AC7981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28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3A3F9B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A6044C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B06DB5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Протокол №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C425A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8A54C2" w:rsidRPr="00B66FC4" w:rsidRDefault="00720EAE" w:rsidP="00750F6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2.9.</w:t>
            </w:r>
            <w:r w:rsidRPr="00B66FC4">
              <w:rPr>
                <w:sz w:val="20"/>
                <w:szCs w:val="20"/>
              </w:rPr>
              <w:t xml:space="preserve"> </w:t>
            </w:r>
            <w:r w:rsidR="005D4957" w:rsidRPr="00B66FC4">
              <w:rPr>
                <w:bCs/>
                <w:color w:val="000000"/>
                <w:sz w:val="20"/>
                <w:szCs w:val="20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-1-01-12689-А от 19.12.2007;,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  <w:p w:rsidR="00D13FD1" w:rsidRPr="00B66FC4" w:rsidRDefault="00C425A3" w:rsidP="00D13FD1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>
              <w:rPr>
                <w:bCs/>
                <w:i/>
                <w:spacing w:val="-4"/>
                <w:sz w:val="20"/>
                <w:szCs w:val="20"/>
                <w:lang w:bidi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425A3" w:rsidRPr="00C425A3" w:rsidRDefault="00C425A3" w:rsidP="00C425A3">
            <w:pPr>
              <w:widowControl/>
              <w:suppressAutoHyphens w:val="0"/>
              <w:rPr>
                <w:bCs/>
                <w:i/>
                <w:spacing w:val="-4"/>
                <w:sz w:val="16"/>
                <w:szCs w:val="16"/>
                <w:lang w:bidi="ar-SA"/>
              </w:rPr>
            </w:pPr>
            <w:r w:rsidRPr="00C425A3">
              <w:rPr>
                <w:bCs/>
                <w:i/>
                <w:spacing w:val="-4"/>
                <w:sz w:val="16"/>
                <w:szCs w:val="16"/>
                <w:lang w:bidi="ar-SA"/>
              </w:rPr>
              <w:t>*</w:t>
            </w:r>
            <w:r w:rsidRPr="00C425A3">
              <w:rPr>
                <w:i/>
                <w:spacing w:val="-4"/>
                <w:sz w:val="16"/>
                <w:szCs w:val="16"/>
                <w:lang w:bidi="ar-SA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  <w:p w:rsidR="00D13FD1" w:rsidRPr="00B66FC4" w:rsidRDefault="00D13FD1" w:rsidP="00D13FD1">
            <w:pPr>
              <w:suppressAutoHyphens w:val="0"/>
              <w:autoSpaceDE w:val="0"/>
              <w:autoSpaceDN w:val="0"/>
              <w:jc w:val="both"/>
              <w:rPr>
                <w:i/>
                <w:sz w:val="20"/>
                <w:szCs w:val="20"/>
                <w:lang w:bidi="ar-SA"/>
              </w:rPr>
            </w:pPr>
            <w:bookmarkStart w:id="5" w:name="_GoBack"/>
            <w:bookmarkEnd w:id="5"/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B66FC4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3.1. Юрисконсульт по корпоративным вопросам – 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корпоративный секретарь ПАО «Наука-Связь»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(представитель по доверенности от 21.05.2024 г.)                   ______________      Е.Ю.Тимофеева </w:t>
            </w:r>
          </w:p>
          <w:p w:rsidR="00720EAE" w:rsidRPr="00B66FC4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B66FC4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3A3F9B">
              <w:rPr>
                <w:rFonts w:eastAsia="Times New Roman CYR"/>
                <w:color w:val="000000"/>
                <w:sz w:val="20"/>
                <w:szCs w:val="20"/>
              </w:rPr>
              <w:t>2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>8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 xml:space="preserve">февраля </w:t>
            </w:r>
            <w:r w:rsidR="00FA0488" w:rsidRPr="00B66FC4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C425A3">
              <w:rPr>
                <w:rFonts w:eastAsia="Times New Roman CYR"/>
                <w:color w:val="000000"/>
                <w:sz w:val="20"/>
                <w:szCs w:val="20"/>
              </w:rPr>
              <w:t>5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B66FC4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B66FC4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B66F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0BFF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A3F9B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66093"/>
    <w:rsid w:val="005B5889"/>
    <w:rsid w:val="005D38BE"/>
    <w:rsid w:val="005D4957"/>
    <w:rsid w:val="00675450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92F89"/>
    <w:rsid w:val="00897441"/>
    <w:rsid w:val="008A54C2"/>
    <w:rsid w:val="008C50B1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C3183"/>
    <w:rsid w:val="00AC7981"/>
    <w:rsid w:val="00AE4560"/>
    <w:rsid w:val="00B06DB5"/>
    <w:rsid w:val="00B40980"/>
    <w:rsid w:val="00B422EA"/>
    <w:rsid w:val="00B66FC4"/>
    <w:rsid w:val="00BA43D8"/>
    <w:rsid w:val="00BB76DB"/>
    <w:rsid w:val="00BC4076"/>
    <w:rsid w:val="00C061B3"/>
    <w:rsid w:val="00C07BCF"/>
    <w:rsid w:val="00C100DD"/>
    <w:rsid w:val="00C360B9"/>
    <w:rsid w:val="00C425A3"/>
    <w:rsid w:val="00CB2905"/>
    <w:rsid w:val="00D13FD1"/>
    <w:rsid w:val="00D14B00"/>
    <w:rsid w:val="00D3225A"/>
    <w:rsid w:val="00D63451"/>
    <w:rsid w:val="00D90008"/>
    <w:rsid w:val="00DF56C0"/>
    <w:rsid w:val="00E002D9"/>
    <w:rsid w:val="00E51EB3"/>
    <w:rsid w:val="00E57FB6"/>
    <w:rsid w:val="00E71D02"/>
    <w:rsid w:val="00E77342"/>
    <w:rsid w:val="00E84EBE"/>
    <w:rsid w:val="00E93A03"/>
    <w:rsid w:val="00EA4323"/>
    <w:rsid w:val="00F00612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9B7DB4E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16431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47</cp:revision>
  <cp:lastPrinted>2024-03-01T14:24:00Z</cp:lastPrinted>
  <dcterms:created xsi:type="dcterms:W3CDTF">2012-11-01T11:10:00Z</dcterms:created>
  <dcterms:modified xsi:type="dcterms:W3CDTF">2025-03-02T15:38:00Z</dcterms:modified>
</cp:coreProperties>
</file>