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EAE" w:rsidRPr="00FD3CC8" w:rsidRDefault="00720EAE" w:rsidP="00720EAE">
      <w:pPr>
        <w:autoSpaceDE w:val="0"/>
        <w:jc w:val="center"/>
        <w:rPr>
          <w:rFonts w:eastAsia="Times New Roman CYR"/>
          <w:b/>
          <w:bCs/>
          <w:color w:val="000000"/>
          <w:sz w:val="22"/>
          <w:szCs w:val="22"/>
        </w:rPr>
      </w:pPr>
      <w:bookmarkStart w:id="0" w:name="OLE_LINK1"/>
      <w:bookmarkStart w:id="1" w:name="OLE_LINK2"/>
      <w:bookmarkStart w:id="2" w:name="OLE_LINK17"/>
      <w:bookmarkStart w:id="3" w:name="OLE_LINK3"/>
      <w:bookmarkStart w:id="4" w:name="OLE_LINK4"/>
      <w:r w:rsidRPr="00FD3CC8">
        <w:rPr>
          <w:rFonts w:eastAsia="Times New Roman CYR"/>
          <w:b/>
          <w:bCs/>
          <w:color w:val="000000"/>
          <w:sz w:val="22"/>
          <w:szCs w:val="22"/>
        </w:rPr>
        <w:t>Сообщение</w:t>
      </w:r>
      <w:r w:rsidR="003D7103" w:rsidRPr="00FD3CC8">
        <w:rPr>
          <w:rFonts w:eastAsia="Times New Roman CYR"/>
          <w:b/>
          <w:bCs/>
          <w:color w:val="000000"/>
          <w:sz w:val="22"/>
          <w:szCs w:val="22"/>
        </w:rPr>
        <w:t xml:space="preserve"> о существенном факте</w:t>
      </w:r>
      <w:r w:rsidRPr="00FD3CC8">
        <w:rPr>
          <w:rFonts w:eastAsia="Times New Roman CYR"/>
          <w:b/>
          <w:bCs/>
          <w:color w:val="000000"/>
          <w:sz w:val="22"/>
          <w:szCs w:val="22"/>
        </w:rPr>
        <w:t xml:space="preserve"> </w:t>
      </w:r>
    </w:p>
    <w:p w:rsidR="006F7A14" w:rsidRPr="00FD3CC8" w:rsidRDefault="00720EAE" w:rsidP="00481C5B">
      <w:pPr>
        <w:autoSpaceDE w:val="0"/>
        <w:jc w:val="center"/>
        <w:rPr>
          <w:rFonts w:eastAsia="Times New Roman CYR"/>
          <w:b/>
          <w:bCs/>
          <w:color w:val="000000"/>
          <w:sz w:val="22"/>
          <w:szCs w:val="22"/>
        </w:rPr>
      </w:pPr>
      <w:r w:rsidRPr="00FD3CC8">
        <w:rPr>
          <w:rFonts w:eastAsia="Times New Roman CYR"/>
          <w:b/>
          <w:bCs/>
          <w:color w:val="000000"/>
          <w:sz w:val="22"/>
          <w:szCs w:val="22"/>
        </w:rPr>
        <w:t>«О проведении Общего собрания акционеров эмитента и о принятых им решениях»</w:t>
      </w:r>
    </w:p>
    <w:p w:rsidR="00927276" w:rsidRPr="00FD3CC8" w:rsidRDefault="00927276" w:rsidP="00481C5B">
      <w:pPr>
        <w:autoSpaceDE w:val="0"/>
        <w:jc w:val="center"/>
        <w:rPr>
          <w:rFonts w:eastAsia="Times New Roman CYR"/>
          <w:b/>
          <w:bCs/>
          <w:color w:val="000000"/>
          <w:sz w:val="22"/>
          <w:szCs w:val="22"/>
        </w:rPr>
      </w:pPr>
    </w:p>
    <w:tbl>
      <w:tblPr>
        <w:tblW w:w="10803" w:type="dxa"/>
        <w:tblInd w:w="-741" w:type="dxa"/>
        <w:tblLayout w:type="fixed"/>
        <w:tblCellMar>
          <w:left w:w="10" w:type="dxa"/>
          <w:right w:w="10" w:type="dxa"/>
        </w:tblCellMar>
        <w:tblLook w:val="0000" w:firstRow="0" w:lastRow="0" w:firstColumn="0" w:lastColumn="0" w:noHBand="0" w:noVBand="0"/>
      </w:tblPr>
      <w:tblGrid>
        <w:gridCol w:w="29"/>
        <w:gridCol w:w="6238"/>
        <w:gridCol w:w="4507"/>
        <w:gridCol w:w="29"/>
      </w:tblGrid>
      <w:tr w:rsidR="00AE4560" w:rsidRPr="00FD3CC8" w:rsidTr="00AE4560">
        <w:trPr>
          <w:gridBefore w:val="1"/>
          <w:wBefore w:w="29" w:type="dxa"/>
        </w:trPr>
        <w:tc>
          <w:tcPr>
            <w:tcW w:w="10774" w:type="dxa"/>
            <w:gridSpan w:val="3"/>
            <w:tcBorders>
              <w:top w:val="single" w:sz="2" w:space="0" w:color="000000"/>
              <w:left w:val="single" w:sz="2" w:space="0" w:color="000000"/>
              <w:bottom w:val="single" w:sz="2" w:space="0" w:color="000000"/>
              <w:right w:val="single" w:sz="2" w:space="0" w:color="000000"/>
            </w:tcBorders>
          </w:tcPr>
          <w:p w:rsidR="00AE4560" w:rsidRPr="00FD3CC8" w:rsidRDefault="00AE4560" w:rsidP="0034496B">
            <w:pPr>
              <w:suppressAutoHyphens w:val="0"/>
              <w:autoSpaceDE w:val="0"/>
              <w:autoSpaceDN w:val="0"/>
              <w:adjustRightInd w:val="0"/>
              <w:jc w:val="center"/>
              <w:rPr>
                <w:b/>
                <w:bCs/>
                <w:i/>
                <w:iCs/>
                <w:sz w:val="22"/>
                <w:szCs w:val="22"/>
                <w:lang w:bidi="ar-SA"/>
              </w:rPr>
            </w:pPr>
            <w:r w:rsidRPr="00FD3CC8">
              <w:rPr>
                <w:b/>
                <w:bCs/>
                <w:sz w:val="22"/>
                <w:szCs w:val="22"/>
                <w:lang w:bidi="ar-SA"/>
              </w:rPr>
              <w:t>1. Общие сведения</w:t>
            </w:r>
          </w:p>
        </w:tc>
      </w:tr>
      <w:tr w:rsidR="00AE4560" w:rsidRPr="00FD3CC8" w:rsidTr="00AE4560">
        <w:trPr>
          <w:gridBefore w:val="1"/>
          <w:wBefore w:w="29" w:type="dxa"/>
        </w:trPr>
        <w:tc>
          <w:tcPr>
            <w:tcW w:w="6238" w:type="dxa"/>
            <w:tcBorders>
              <w:top w:val="single" w:sz="2" w:space="0" w:color="000000"/>
              <w:left w:val="single" w:sz="2" w:space="0" w:color="000000"/>
              <w:bottom w:val="single" w:sz="2" w:space="0" w:color="000000"/>
              <w:right w:val="single" w:sz="2" w:space="0" w:color="000000"/>
            </w:tcBorders>
          </w:tcPr>
          <w:p w:rsidR="00AE4560" w:rsidRPr="00FD3CC8" w:rsidRDefault="00AE4560" w:rsidP="0034496B">
            <w:pPr>
              <w:suppressAutoHyphens w:val="0"/>
              <w:autoSpaceDE w:val="0"/>
              <w:autoSpaceDN w:val="0"/>
              <w:adjustRightInd w:val="0"/>
              <w:rPr>
                <w:color w:val="000000"/>
                <w:sz w:val="22"/>
                <w:szCs w:val="22"/>
                <w:lang w:bidi="ar-SA"/>
              </w:rPr>
            </w:pPr>
            <w:r w:rsidRPr="00FD3CC8">
              <w:rPr>
                <w:color w:val="000000"/>
                <w:sz w:val="22"/>
                <w:szCs w:val="22"/>
                <w:lang w:bidi="ar-SA"/>
              </w:rPr>
              <w:t xml:space="preserve">  1.1. Полное фирменное наименование эмитента    </w:t>
            </w:r>
          </w:p>
        </w:tc>
        <w:tc>
          <w:tcPr>
            <w:tcW w:w="4536" w:type="dxa"/>
            <w:gridSpan w:val="2"/>
            <w:tcBorders>
              <w:top w:val="single" w:sz="2" w:space="0" w:color="000000"/>
              <w:left w:val="single" w:sz="2" w:space="0" w:color="000000"/>
              <w:bottom w:val="single" w:sz="2" w:space="0" w:color="000000"/>
              <w:right w:val="single" w:sz="2" w:space="0" w:color="000000"/>
            </w:tcBorders>
          </w:tcPr>
          <w:p w:rsidR="00AE4560" w:rsidRPr="00FD3CC8" w:rsidRDefault="00AE4560" w:rsidP="0034496B">
            <w:pPr>
              <w:widowControl/>
              <w:suppressAutoHyphens w:val="0"/>
              <w:snapToGrid w:val="0"/>
              <w:ind w:left="57" w:right="57"/>
              <w:jc w:val="both"/>
              <w:rPr>
                <w:b/>
                <w:bCs/>
                <w:i/>
                <w:iCs/>
                <w:sz w:val="22"/>
                <w:szCs w:val="22"/>
                <w:lang w:bidi="ar-SA"/>
              </w:rPr>
            </w:pPr>
            <w:r w:rsidRPr="00FD3CC8">
              <w:rPr>
                <w:b/>
                <w:bCs/>
                <w:i/>
                <w:iCs/>
                <w:sz w:val="22"/>
                <w:szCs w:val="22"/>
                <w:lang w:bidi="ar-SA"/>
              </w:rPr>
              <w:t>Публичное акционерное общество "Наука-Связь"</w:t>
            </w:r>
          </w:p>
        </w:tc>
      </w:tr>
      <w:tr w:rsidR="00AE4560" w:rsidRPr="00FD3CC8" w:rsidTr="00AE4560">
        <w:trPr>
          <w:gridBefore w:val="1"/>
          <w:wBefore w:w="29" w:type="dxa"/>
        </w:trPr>
        <w:tc>
          <w:tcPr>
            <w:tcW w:w="6238" w:type="dxa"/>
            <w:tcBorders>
              <w:top w:val="single" w:sz="2" w:space="0" w:color="000000"/>
              <w:left w:val="single" w:sz="2" w:space="0" w:color="000000"/>
              <w:bottom w:val="single" w:sz="2" w:space="0" w:color="000000"/>
              <w:right w:val="single" w:sz="2" w:space="0" w:color="000000"/>
            </w:tcBorders>
          </w:tcPr>
          <w:p w:rsidR="00AE4560" w:rsidRPr="00FD3CC8" w:rsidRDefault="00AE4560" w:rsidP="0034496B">
            <w:pPr>
              <w:suppressAutoHyphens w:val="0"/>
              <w:autoSpaceDE w:val="0"/>
              <w:autoSpaceDN w:val="0"/>
              <w:adjustRightInd w:val="0"/>
              <w:rPr>
                <w:color w:val="000000"/>
                <w:sz w:val="22"/>
                <w:szCs w:val="22"/>
                <w:lang w:bidi="ar-SA"/>
              </w:rPr>
            </w:pPr>
            <w:r w:rsidRPr="00FD3CC8">
              <w:rPr>
                <w:color w:val="000000"/>
                <w:sz w:val="22"/>
                <w:szCs w:val="22"/>
                <w:lang w:bidi="ar-SA"/>
              </w:rPr>
              <w:t xml:space="preserve">  1.2. Адрес эмитента, указанный в едином государственном реестре юридических лиц</w:t>
            </w:r>
          </w:p>
        </w:tc>
        <w:tc>
          <w:tcPr>
            <w:tcW w:w="4536" w:type="dxa"/>
            <w:gridSpan w:val="2"/>
            <w:tcBorders>
              <w:top w:val="single" w:sz="2" w:space="0" w:color="000000"/>
              <w:left w:val="single" w:sz="2" w:space="0" w:color="000000"/>
              <w:bottom w:val="single" w:sz="2" w:space="0" w:color="000000"/>
              <w:right w:val="single" w:sz="2" w:space="0" w:color="000000"/>
            </w:tcBorders>
          </w:tcPr>
          <w:p w:rsidR="00AE4560" w:rsidRPr="00FD3CC8" w:rsidRDefault="00AE4560" w:rsidP="0034496B">
            <w:pPr>
              <w:widowControl/>
              <w:suppressAutoHyphens w:val="0"/>
              <w:snapToGrid w:val="0"/>
              <w:ind w:left="57" w:right="57"/>
              <w:jc w:val="both"/>
              <w:rPr>
                <w:b/>
                <w:bCs/>
                <w:i/>
                <w:iCs/>
                <w:sz w:val="22"/>
                <w:szCs w:val="22"/>
                <w:lang w:bidi="ar-SA"/>
              </w:rPr>
            </w:pPr>
            <w:r w:rsidRPr="00FD3CC8">
              <w:rPr>
                <w:b/>
                <w:bCs/>
                <w:i/>
                <w:iCs/>
                <w:sz w:val="22"/>
                <w:szCs w:val="22"/>
                <w:lang w:bidi="ar-SA"/>
              </w:rPr>
              <w:t>125124, г. Москва, ул. 3-Я Ямского Поля, д. 2 к. 13 этаж 1 пом. IV ком. 16</w:t>
            </w:r>
          </w:p>
        </w:tc>
      </w:tr>
      <w:tr w:rsidR="00AE4560" w:rsidRPr="00FD3CC8" w:rsidTr="00AE4560">
        <w:trPr>
          <w:gridBefore w:val="1"/>
          <w:wBefore w:w="29" w:type="dxa"/>
        </w:trPr>
        <w:tc>
          <w:tcPr>
            <w:tcW w:w="6238" w:type="dxa"/>
            <w:tcBorders>
              <w:top w:val="single" w:sz="2" w:space="0" w:color="000000"/>
              <w:left w:val="single" w:sz="2" w:space="0" w:color="000000"/>
              <w:bottom w:val="single" w:sz="2" w:space="0" w:color="000000"/>
              <w:right w:val="single" w:sz="2" w:space="0" w:color="000000"/>
            </w:tcBorders>
          </w:tcPr>
          <w:p w:rsidR="00AE4560" w:rsidRPr="00FD3CC8" w:rsidRDefault="00AE4560" w:rsidP="0034496B">
            <w:pPr>
              <w:suppressAutoHyphens w:val="0"/>
              <w:autoSpaceDE w:val="0"/>
              <w:autoSpaceDN w:val="0"/>
              <w:adjustRightInd w:val="0"/>
              <w:rPr>
                <w:color w:val="000000"/>
                <w:sz w:val="22"/>
                <w:szCs w:val="22"/>
                <w:lang w:bidi="ar-SA"/>
              </w:rPr>
            </w:pPr>
            <w:r w:rsidRPr="00FD3CC8">
              <w:rPr>
                <w:color w:val="000000"/>
                <w:sz w:val="22"/>
                <w:szCs w:val="22"/>
                <w:lang w:bidi="ar-SA"/>
              </w:rPr>
              <w:t xml:space="preserve">  1.3. Основной государственный регистрационный номер (ОГРН) эмитента</w:t>
            </w:r>
          </w:p>
        </w:tc>
        <w:tc>
          <w:tcPr>
            <w:tcW w:w="4536" w:type="dxa"/>
            <w:gridSpan w:val="2"/>
            <w:tcBorders>
              <w:top w:val="single" w:sz="2" w:space="0" w:color="000000"/>
              <w:left w:val="single" w:sz="2" w:space="0" w:color="000000"/>
              <w:bottom w:val="single" w:sz="2" w:space="0" w:color="000000"/>
              <w:right w:val="single" w:sz="2" w:space="0" w:color="000000"/>
            </w:tcBorders>
          </w:tcPr>
          <w:p w:rsidR="00AE4560" w:rsidRPr="00FD3CC8" w:rsidRDefault="00AE4560" w:rsidP="0034496B">
            <w:pPr>
              <w:widowControl/>
              <w:suppressAutoHyphens w:val="0"/>
              <w:snapToGrid w:val="0"/>
              <w:ind w:left="57" w:right="57"/>
              <w:jc w:val="both"/>
              <w:rPr>
                <w:b/>
                <w:bCs/>
                <w:i/>
                <w:iCs/>
                <w:sz w:val="22"/>
                <w:szCs w:val="22"/>
                <w:lang w:bidi="ar-SA"/>
              </w:rPr>
            </w:pPr>
            <w:r w:rsidRPr="00FD3CC8">
              <w:rPr>
                <w:b/>
                <w:bCs/>
                <w:i/>
                <w:iCs/>
                <w:sz w:val="22"/>
                <w:szCs w:val="22"/>
                <w:lang w:bidi="ar-SA"/>
              </w:rPr>
              <w:t>1077761976852</w:t>
            </w:r>
          </w:p>
        </w:tc>
      </w:tr>
      <w:tr w:rsidR="00AE4560" w:rsidRPr="00FD3CC8" w:rsidTr="00AE4560">
        <w:trPr>
          <w:gridBefore w:val="1"/>
          <w:wBefore w:w="29" w:type="dxa"/>
        </w:trPr>
        <w:tc>
          <w:tcPr>
            <w:tcW w:w="6238" w:type="dxa"/>
            <w:tcBorders>
              <w:top w:val="single" w:sz="2" w:space="0" w:color="000000"/>
              <w:left w:val="single" w:sz="2" w:space="0" w:color="000000"/>
              <w:bottom w:val="single" w:sz="2" w:space="0" w:color="000000"/>
              <w:right w:val="single" w:sz="2" w:space="0" w:color="000000"/>
            </w:tcBorders>
          </w:tcPr>
          <w:p w:rsidR="00AE4560" w:rsidRPr="00FD3CC8" w:rsidRDefault="00AE4560" w:rsidP="0034496B">
            <w:pPr>
              <w:suppressAutoHyphens w:val="0"/>
              <w:autoSpaceDE w:val="0"/>
              <w:autoSpaceDN w:val="0"/>
              <w:adjustRightInd w:val="0"/>
              <w:ind w:firstLine="180"/>
              <w:rPr>
                <w:color w:val="000000"/>
                <w:sz w:val="22"/>
                <w:szCs w:val="22"/>
                <w:lang w:bidi="ar-SA"/>
              </w:rPr>
            </w:pPr>
            <w:r w:rsidRPr="00FD3CC8">
              <w:rPr>
                <w:color w:val="000000"/>
                <w:sz w:val="22"/>
                <w:szCs w:val="22"/>
                <w:lang w:bidi="ar-SA"/>
              </w:rPr>
              <w:t>1.4. Идентификационный номер налогоплательщика (ИНН) эмитента</w:t>
            </w:r>
          </w:p>
        </w:tc>
        <w:tc>
          <w:tcPr>
            <w:tcW w:w="4536" w:type="dxa"/>
            <w:gridSpan w:val="2"/>
            <w:tcBorders>
              <w:top w:val="single" w:sz="2" w:space="0" w:color="000000"/>
              <w:left w:val="single" w:sz="2" w:space="0" w:color="000000"/>
              <w:bottom w:val="single" w:sz="2" w:space="0" w:color="000000"/>
              <w:right w:val="single" w:sz="2" w:space="0" w:color="000000"/>
            </w:tcBorders>
          </w:tcPr>
          <w:p w:rsidR="00AE4560" w:rsidRPr="00FD3CC8" w:rsidRDefault="00AE4560" w:rsidP="0034496B">
            <w:pPr>
              <w:widowControl/>
              <w:suppressAutoHyphens w:val="0"/>
              <w:snapToGrid w:val="0"/>
              <w:ind w:left="57" w:right="57"/>
              <w:jc w:val="both"/>
              <w:rPr>
                <w:b/>
                <w:bCs/>
                <w:i/>
                <w:iCs/>
                <w:sz w:val="22"/>
                <w:szCs w:val="22"/>
                <w:lang w:bidi="ar-SA"/>
              </w:rPr>
            </w:pPr>
            <w:r w:rsidRPr="00FD3CC8">
              <w:rPr>
                <w:b/>
                <w:bCs/>
                <w:i/>
                <w:iCs/>
                <w:sz w:val="22"/>
                <w:szCs w:val="22"/>
                <w:lang w:bidi="ar-SA"/>
              </w:rPr>
              <w:t>7714716995</w:t>
            </w:r>
          </w:p>
        </w:tc>
      </w:tr>
      <w:tr w:rsidR="00AE4560" w:rsidRPr="00FD3CC8" w:rsidTr="00AE4560">
        <w:trPr>
          <w:gridBefore w:val="1"/>
          <w:wBefore w:w="29" w:type="dxa"/>
        </w:trPr>
        <w:tc>
          <w:tcPr>
            <w:tcW w:w="6238" w:type="dxa"/>
            <w:tcBorders>
              <w:top w:val="single" w:sz="2" w:space="0" w:color="000000"/>
              <w:left w:val="single" w:sz="2" w:space="0" w:color="000000"/>
              <w:bottom w:val="single" w:sz="2" w:space="0" w:color="000000"/>
              <w:right w:val="single" w:sz="2" w:space="0" w:color="000000"/>
            </w:tcBorders>
          </w:tcPr>
          <w:p w:rsidR="00AE4560" w:rsidRPr="00FD3CC8" w:rsidRDefault="00AE4560" w:rsidP="0034496B">
            <w:pPr>
              <w:suppressAutoHyphens w:val="0"/>
              <w:autoSpaceDE w:val="0"/>
              <w:autoSpaceDN w:val="0"/>
              <w:adjustRightInd w:val="0"/>
              <w:ind w:firstLine="38"/>
              <w:rPr>
                <w:color w:val="000000"/>
                <w:sz w:val="22"/>
                <w:szCs w:val="22"/>
                <w:lang w:bidi="ar-SA"/>
              </w:rPr>
            </w:pPr>
            <w:r w:rsidRPr="00FD3CC8">
              <w:rPr>
                <w:color w:val="000000"/>
                <w:sz w:val="22"/>
                <w:szCs w:val="22"/>
                <w:lang w:bidi="ar-SA"/>
              </w:rPr>
              <w:t xml:space="preserve">  1.5. Уникальный   код   эмитента, присвоенный Банком России                                  </w:t>
            </w:r>
          </w:p>
        </w:tc>
        <w:tc>
          <w:tcPr>
            <w:tcW w:w="4536" w:type="dxa"/>
            <w:gridSpan w:val="2"/>
            <w:tcBorders>
              <w:top w:val="single" w:sz="2" w:space="0" w:color="000000"/>
              <w:left w:val="single" w:sz="2" w:space="0" w:color="000000"/>
              <w:bottom w:val="single" w:sz="2" w:space="0" w:color="000000"/>
              <w:right w:val="single" w:sz="2" w:space="0" w:color="000000"/>
            </w:tcBorders>
          </w:tcPr>
          <w:p w:rsidR="00AE4560" w:rsidRPr="00FD3CC8" w:rsidRDefault="00AE4560" w:rsidP="0034496B">
            <w:pPr>
              <w:widowControl/>
              <w:suppressAutoHyphens w:val="0"/>
              <w:snapToGrid w:val="0"/>
              <w:ind w:left="57" w:right="57"/>
              <w:jc w:val="both"/>
              <w:rPr>
                <w:b/>
                <w:bCs/>
                <w:i/>
                <w:iCs/>
                <w:sz w:val="22"/>
                <w:szCs w:val="22"/>
                <w:lang w:bidi="ar-SA"/>
              </w:rPr>
            </w:pPr>
            <w:r w:rsidRPr="00FD3CC8">
              <w:rPr>
                <w:b/>
                <w:bCs/>
                <w:i/>
                <w:iCs/>
                <w:sz w:val="22"/>
                <w:szCs w:val="22"/>
                <w:lang w:bidi="ar-SA"/>
              </w:rPr>
              <w:t>12689-А</w:t>
            </w:r>
          </w:p>
        </w:tc>
      </w:tr>
      <w:tr w:rsidR="00AE4560" w:rsidRPr="00FD3CC8" w:rsidTr="00AE4560">
        <w:trPr>
          <w:gridBefore w:val="1"/>
          <w:wBefore w:w="29" w:type="dxa"/>
        </w:trPr>
        <w:tc>
          <w:tcPr>
            <w:tcW w:w="6238" w:type="dxa"/>
            <w:tcBorders>
              <w:top w:val="single" w:sz="2" w:space="0" w:color="000000"/>
              <w:left w:val="single" w:sz="2" w:space="0" w:color="000000"/>
              <w:bottom w:val="single" w:sz="2" w:space="0" w:color="000000"/>
              <w:right w:val="single" w:sz="4" w:space="0" w:color="auto"/>
            </w:tcBorders>
          </w:tcPr>
          <w:p w:rsidR="00AE4560" w:rsidRPr="00FD3CC8" w:rsidRDefault="00AE4560" w:rsidP="0034496B">
            <w:pPr>
              <w:suppressAutoHyphens w:val="0"/>
              <w:autoSpaceDE w:val="0"/>
              <w:autoSpaceDN w:val="0"/>
              <w:adjustRightInd w:val="0"/>
              <w:rPr>
                <w:color w:val="000000"/>
                <w:sz w:val="22"/>
                <w:szCs w:val="22"/>
                <w:lang w:bidi="ar-SA"/>
              </w:rPr>
            </w:pPr>
            <w:r w:rsidRPr="00FD3CC8">
              <w:rPr>
                <w:color w:val="000000"/>
                <w:sz w:val="22"/>
                <w:szCs w:val="22"/>
                <w:lang w:bidi="ar-SA"/>
              </w:rPr>
              <w:t xml:space="preserve">  1.6. Адрес страницы в сети Интернет, и</w:t>
            </w:r>
            <w:r w:rsidRPr="00FD3CC8">
              <w:rPr>
                <w:color w:val="000000"/>
                <w:sz w:val="22"/>
                <w:szCs w:val="22"/>
                <w:lang w:val="en-US" w:bidi="ar-SA"/>
              </w:rPr>
              <w:t>c</w:t>
            </w:r>
            <w:r w:rsidRPr="00FD3CC8">
              <w:rPr>
                <w:color w:val="000000"/>
                <w:sz w:val="22"/>
                <w:szCs w:val="22"/>
                <w:lang w:bidi="ar-SA"/>
              </w:rPr>
              <w:t xml:space="preserve">пользуемой   эмитентом для раскрытия информации           </w:t>
            </w:r>
          </w:p>
        </w:tc>
        <w:tc>
          <w:tcPr>
            <w:tcW w:w="4536" w:type="dxa"/>
            <w:gridSpan w:val="2"/>
            <w:tcBorders>
              <w:top w:val="single" w:sz="2" w:space="0" w:color="000000"/>
              <w:left w:val="single" w:sz="4" w:space="0" w:color="auto"/>
              <w:bottom w:val="single" w:sz="2" w:space="0" w:color="000000"/>
              <w:right w:val="single" w:sz="2" w:space="0" w:color="000000"/>
            </w:tcBorders>
          </w:tcPr>
          <w:p w:rsidR="00AE4560" w:rsidRPr="00FD3CC8" w:rsidRDefault="00AE4560" w:rsidP="0034496B">
            <w:pPr>
              <w:widowControl/>
              <w:suppressAutoHyphens w:val="0"/>
              <w:ind w:left="57" w:right="57"/>
              <w:rPr>
                <w:b/>
                <w:bCs/>
                <w:i/>
                <w:color w:val="000000"/>
                <w:sz w:val="22"/>
                <w:szCs w:val="22"/>
                <w:lang w:bidi="ar-SA"/>
              </w:rPr>
            </w:pPr>
            <w:r w:rsidRPr="00FD3CC8">
              <w:rPr>
                <w:b/>
                <w:bCs/>
                <w:i/>
                <w:color w:val="000000"/>
                <w:sz w:val="22"/>
                <w:szCs w:val="22"/>
                <w:lang w:val="en-US" w:bidi="ar-SA"/>
              </w:rPr>
              <w:t>http</w:t>
            </w:r>
            <w:r w:rsidRPr="00FD3CC8">
              <w:rPr>
                <w:b/>
                <w:bCs/>
                <w:i/>
                <w:color w:val="000000"/>
                <w:sz w:val="22"/>
                <w:szCs w:val="22"/>
                <w:lang w:bidi="ar-SA"/>
              </w:rPr>
              <w:t>://</w:t>
            </w:r>
            <w:r w:rsidRPr="00FD3CC8">
              <w:rPr>
                <w:b/>
                <w:bCs/>
                <w:i/>
                <w:color w:val="000000"/>
                <w:sz w:val="22"/>
                <w:szCs w:val="22"/>
                <w:lang w:val="en-US" w:bidi="ar-SA"/>
              </w:rPr>
              <w:t>w</w:t>
            </w:r>
            <w:hyperlink r:id="rId5" w:history="1">
              <w:r w:rsidRPr="00FD3CC8">
                <w:rPr>
                  <w:b/>
                  <w:i/>
                  <w:color w:val="000000"/>
                  <w:sz w:val="22"/>
                  <w:szCs w:val="22"/>
                  <w:lang w:eastAsia="x-none" w:bidi="ar-SA"/>
                </w:rPr>
                <w:t>ww.oaonsv.ru</w:t>
              </w:r>
            </w:hyperlink>
            <w:r w:rsidRPr="00FD3CC8">
              <w:rPr>
                <w:b/>
                <w:bCs/>
                <w:i/>
                <w:color w:val="000000"/>
                <w:sz w:val="22"/>
                <w:szCs w:val="22"/>
                <w:lang w:bidi="ar-SA"/>
              </w:rPr>
              <w:t xml:space="preserve"> </w:t>
            </w:r>
          </w:p>
          <w:p w:rsidR="00AE4560" w:rsidRPr="00FD3CC8" w:rsidRDefault="00AE4560" w:rsidP="0034496B">
            <w:pPr>
              <w:widowControl/>
              <w:suppressAutoHyphens w:val="0"/>
              <w:snapToGrid w:val="0"/>
              <w:ind w:left="57" w:right="57"/>
              <w:jc w:val="both"/>
              <w:rPr>
                <w:color w:val="000000"/>
                <w:sz w:val="22"/>
                <w:szCs w:val="22"/>
                <w:lang w:bidi="ar-SA"/>
              </w:rPr>
            </w:pPr>
            <w:r w:rsidRPr="00FD3CC8">
              <w:rPr>
                <w:b/>
                <w:i/>
                <w:color w:val="000000"/>
                <w:sz w:val="22"/>
                <w:szCs w:val="22"/>
                <w:lang w:val="en-US" w:bidi="ar-SA"/>
              </w:rPr>
              <w:t>http</w:t>
            </w:r>
            <w:r w:rsidRPr="00FD3CC8">
              <w:rPr>
                <w:b/>
                <w:i/>
                <w:color w:val="000000"/>
                <w:sz w:val="22"/>
                <w:szCs w:val="22"/>
                <w:lang w:bidi="ar-SA"/>
              </w:rPr>
              <w:t>://</w:t>
            </w:r>
            <w:r w:rsidRPr="00FD3CC8">
              <w:rPr>
                <w:b/>
                <w:i/>
                <w:color w:val="000000"/>
                <w:sz w:val="22"/>
                <w:szCs w:val="22"/>
                <w:lang w:val="en-US" w:bidi="ar-SA"/>
              </w:rPr>
              <w:t>www</w:t>
            </w:r>
            <w:r w:rsidRPr="00FD3CC8">
              <w:rPr>
                <w:b/>
                <w:i/>
                <w:color w:val="000000"/>
                <w:sz w:val="22"/>
                <w:szCs w:val="22"/>
                <w:lang w:bidi="ar-SA"/>
              </w:rPr>
              <w:t>.</w:t>
            </w:r>
            <w:r w:rsidRPr="00FD3CC8">
              <w:rPr>
                <w:b/>
                <w:i/>
                <w:color w:val="000000"/>
                <w:sz w:val="22"/>
                <w:szCs w:val="22"/>
                <w:lang w:val="en-US" w:bidi="ar-SA"/>
              </w:rPr>
              <w:t>e</w:t>
            </w:r>
            <w:r w:rsidRPr="00FD3CC8">
              <w:rPr>
                <w:b/>
                <w:i/>
                <w:color w:val="000000"/>
                <w:sz w:val="22"/>
                <w:szCs w:val="22"/>
                <w:lang w:bidi="ar-SA"/>
              </w:rPr>
              <w:t>-</w:t>
            </w:r>
            <w:r w:rsidRPr="00FD3CC8">
              <w:rPr>
                <w:b/>
                <w:i/>
                <w:color w:val="000000"/>
                <w:sz w:val="22"/>
                <w:szCs w:val="22"/>
                <w:lang w:val="en-US" w:bidi="ar-SA"/>
              </w:rPr>
              <w:t>disclosure</w:t>
            </w:r>
            <w:r w:rsidRPr="00FD3CC8">
              <w:rPr>
                <w:b/>
                <w:i/>
                <w:color w:val="000000"/>
                <w:sz w:val="22"/>
                <w:szCs w:val="22"/>
                <w:lang w:bidi="ar-SA"/>
              </w:rPr>
              <w:t>.</w:t>
            </w:r>
            <w:proofErr w:type="spellStart"/>
            <w:r w:rsidRPr="00FD3CC8">
              <w:rPr>
                <w:b/>
                <w:i/>
                <w:color w:val="000000"/>
                <w:sz w:val="22"/>
                <w:szCs w:val="22"/>
                <w:lang w:val="en-US" w:bidi="ar-SA"/>
              </w:rPr>
              <w:t>ru</w:t>
            </w:r>
            <w:proofErr w:type="spellEnd"/>
            <w:r w:rsidRPr="00FD3CC8">
              <w:rPr>
                <w:b/>
                <w:i/>
                <w:color w:val="000000"/>
                <w:sz w:val="22"/>
                <w:szCs w:val="22"/>
                <w:lang w:bidi="ar-SA"/>
              </w:rPr>
              <w:t>/</w:t>
            </w:r>
            <w:r w:rsidRPr="00FD3CC8">
              <w:rPr>
                <w:b/>
                <w:i/>
                <w:color w:val="000000"/>
                <w:sz w:val="22"/>
                <w:szCs w:val="22"/>
                <w:lang w:val="en-US" w:bidi="ar-SA"/>
              </w:rPr>
              <w:t>portal</w:t>
            </w:r>
            <w:r w:rsidRPr="00FD3CC8">
              <w:rPr>
                <w:b/>
                <w:i/>
                <w:color w:val="000000"/>
                <w:sz w:val="22"/>
                <w:szCs w:val="22"/>
                <w:lang w:bidi="ar-SA"/>
              </w:rPr>
              <w:t>/</w:t>
            </w:r>
            <w:r w:rsidRPr="00FD3CC8">
              <w:rPr>
                <w:b/>
                <w:i/>
                <w:color w:val="000000"/>
                <w:sz w:val="22"/>
                <w:szCs w:val="22"/>
                <w:lang w:val="en-US" w:bidi="ar-SA"/>
              </w:rPr>
              <w:t>company</w:t>
            </w:r>
            <w:r w:rsidRPr="00FD3CC8">
              <w:rPr>
                <w:b/>
                <w:i/>
                <w:color w:val="000000"/>
                <w:sz w:val="22"/>
                <w:szCs w:val="22"/>
                <w:lang w:bidi="ar-SA"/>
              </w:rPr>
              <w:t>.</w:t>
            </w:r>
            <w:proofErr w:type="spellStart"/>
            <w:r w:rsidRPr="00FD3CC8">
              <w:rPr>
                <w:b/>
                <w:i/>
                <w:color w:val="000000"/>
                <w:sz w:val="22"/>
                <w:szCs w:val="22"/>
                <w:lang w:val="en-US" w:bidi="ar-SA"/>
              </w:rPr>
              <w:t>aspx</w:t>
            </w:r>
            <w:proofErr w:type="spellEnd"/>
            <w:r w:rsidRPr="00FD3CC8">
              <w:rPr>
                <w:b/>
                <w:i/>
                <w:color w:val="000000"/>
                <w:sz w:val="22"/>
                <w:szCs w:val="22"/>
                <w:lang w:bidi="ar-SA"/>
              </w:rPr>
              <w:t>?</w:t>
            </w:r>
            <w:r w:rsidRPr="00FD3CC8">
              <w:rPr>
                <w:b/>
                <w:i/>
                <w:color w:val="000000"/>
                <w:sz w:val="22"/>
                <w:szCs w:val="22"/>
                <w:lang w:val="en-US" w:bidi="ar-SA"/>
              </w:rPr>
              <w:t>id</w:t>
            </w:r>
            <w:r w:rsidRPr="00FD3CC8">
              <w:rPr>
                <w:b/>
                <w:i/>
                <w:color w:val="000000"/>
                <w:sz w:val="22"/>
                <w:szCs w:val="22"/>
                <w:lang w:bidi="ar-SA"/>
              </w:rPr>
              <w:t>=20639</w:t>
            </w:r>
          </w:p>
        </w:tc>
      </w:tr>
      <w:tr w:rsidR="00AE4560" w:rsidRPr="00FD3CC8" w:rsidTr="00AE4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29" w:type="dxa"/>
          <w:trHeight w:val="96"/>
        </w:trPr>
        <w:tc>
          <w:tcPr>
            <w:tcW w:w="6238" w:type="dxa"/>
          </w:tcPr>
          <w:p w:rsidR="00AE4560" w:rsidRPr="00FD3CC8" w:rsidRDefault="00AE4560" w:rsidP="0034496B">
            <w:pPr>
              <w:widowControl/>
              <w:suppressAutoHyphens w:val="0"/>
              <w:rPr>
                <w:sz w:val="22"/>
                <w:szCs w:val="22"/>
                <w:lang w:bidi="ar-SA"/>
              </w:rPr>
            </w:pPr>
            <w:r w:rsidRPr="00FD3CC8">
              <w:rPr>
                <w:sz w:val="22"/>
                <w:szCs w:val="22"/>
                <w:lang w:bidi="ar-SA"/>
              </w:rPr>
              <w:t>1.7. Дата наступления события, о котором составлено сообщение</w:t>
            </w:r>
          </w:p>
        </w:tc>
        <w:tc>
          <w:tcPr>
            <w:tcW w:w="4536" w:type="dxa"/>
            <w:gridSpan w:val="2"/>
          </w:tcPr>
          <w:p w:rsidR="00AE4560" w:rsidRPr="00FD3CC8" w:rsidRDefault="00FD3CC8" w:rsidP="0034496B">
            <w:pPr>
              <w:widowControl/>
              <w:suppressAutoHyphens w:val="0"/>
              <w:ind w:right="57"/>
              <w:rPr>
                <w:b/>
                <w:i/>
                <w:sz w:val="22"/>
                <w:szCs w:val="22"/>
                <w:lang w:bidi="ar-SA"/>
              </w:rPr>
            </w:pPr>
            <w:r w:rsidRPr="00FD3CC8">
              <w:rPr>
                <w:b/>
                <w:i/>
                <w:sz w:val="22"/>
                <w:szCs w:val="22"/>
                <w:lang w:val="en-US" w:bidi="ar-SA"/>
              </w:rPr>
              <w:t>20</w:t>
            </w:r>
            <w:r w:rsidR="00AE4560" w:rsidRPr="00FD3CC8">
              <w:rPr>
                <w:b/>
                <w:i/>
                <w:sz w:val="22"/>
                <w:szCs w:val="22"/>
                <w:lang w:bidi="ar-SA"/>
              </w:rPr>
              <w:t>.</w:t>
            </w:r>
            <w:r w:rsidR="000441EA" w:rsidRPr="00FD3CC8">
              <w:rPr>
                <w:b/>
                <w:i/>
                <w:sz w:val="22"/>
                <w:szCs w:val="22"/>
                <w:lang w:bidi="ar-SA"/>
              </w:rPr>
              <w:t>0</w:t>
            </w:r>
            <w:r w:rsidRPr="00FD3CC8">
              <w:rPr>
                <w:b/>
                <w:i/>
                <w:sz w:val="22"/>
                <w:szCs w:val="22"/>
                <w:lang w:val="en-US" w:bidi="ar-SA"/>
              </w:rPr>
              <w:t>5</w:t>
            </w:r>
            <w:r w:rsidR="00AE4560" w:rsidRPr="00FD3CC8">
              <w:rPr>
                <w:b/>
                <w:i/>
                <w:sz w:val="22"/>
                <w:szCs w:val="22"/>
                <w:lang w:bidi="ar-SA"/>
              </w:rPr>
              <w:t>.202</w:t>
            </w:r>
            <w:r w:rsidR="000441EA" w:rsidRPr="00FD3CC8">
              <w:rPr>
                <w:b/>
                <w:i/>
                <w:sz w:val="22"/>
                <w:szCs w:val="22"/>
                <w:lang w:bidi="ar-SA"/>
              </w:rPr>
              <w:t>4</w:t>
            </w:r>
            <w:r w:rsidR="00AE4560" w:rsidRPr="00FD3CC8">
              <w:rPr>
                <w:b/>
                <w:i/>
                <w:sz w:val="22"/>
                <w:szCs w:val="22"/>
                <w:lang w:bidi="ar-SA"/>
              </w:rPr>
              <w:t xml:space="preserve"> г.</w:t>
            </w:r>
          </w:p>
        </w:tc>
      </w:tr>
      <w:tr w:rsidR="002B5C71" w:rsidRPr="00FD3CC8" w:rsidTr="00AE4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9" w:type="dxa"/>
          <w:trHeight w:val="180"/>
        </w:trPr>
        <w:tc>
          <w:tcPr>
            <w:tcW w:w="10774" w:type="dxa"/>
            <w:gridSpan w:val="3"/>
            <w:shd w:val="clear" w:color="auto" w:fill="auto"/>
          </w:tcPr>
          <w:p w:rsidR="002B5C71" w:rsidRPr="00FD3CC8" w:rsidRDefault="002B5C71" w:rsidP="0097237C">
            <w:pPr>
              <w:autoSpaceDE w:val="0"/>
              <w:jc w:val="center"/>
              <w:rPr>
                <w:rFonts w:eastAsia="Times New Roman CYR"/>
                <w:b/>
                <w:bCs/>
                <w:color w:val="000000"/>
                <w:sz w:val="22"/>
                <w:szCs w:val="22"/>
              </w:rPr>
            </w:pPr>
            <w:r w:rsidRPr="00FD3CC8">
              <w:rPr>
                <w:rFonts w:eastAsia="Times New Roman CYR"/>
                <w:b/>
                <w:bCs/>
                <w:color w:val="000000"/>
                <w:sz w:val="22"/>
                <w:szCs w:val="22"/>
              </w:rPr>
              <w:t>2. Содержание сообщения</w:t>
            </w:r>
          </w:p>
        </w:tc>
      </w:tr>
      <w:tr w:rsidR="008A54C2" w:rsidRPr="00FD3CC8" w:rsidTr="00AE4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9" w:type="dxa"/>
          <w:trHeight w:val="180"/>
        </w:trPr>
        <w:tc>
          <w:tcPr>
            <w:tcW w:w="10774" w:type="dxa"/>
            <w:gridSpan w:val="3"/>
            <w:shd w:val="clear" w:color="auto" w:fill="auto"/>
          </w:tcPr>
          <w:p w:rsidR="00720EAE" w:rsidRPr="00FD3CC8" w:rsidRDefault="00720EAE" w:rsidP="00720EAE">
            <w:pPr>
              <w:autoSpaceDE w:val="0"/>
              <w:autoSpaceDN w:val="0"/>
              <w:adjustRightInd w:val="0"/>
              <w:jc w:val="both"/>
              <w:outlineLvl w:val="3"/>
              <w:rPr>
                <w:color w:val="000000"/>
                <w:sz w:val="22"/>
                <w:szCs w:val="22"/>
              </w:rPr>
            </w:pPr>
            <w:r w:rsidRPr="00FD3CC8">
              <w:rPr>
                <w:color w:val="000000"/>
                <w:sz w:val="22"/>
                <w:szCs w:val="22"/>
              </w:rPr>
              <w:t xml:space="preserve">2.1. Вид Общего собрания акционеров ПАО «Наука-Связь»: </w:t>
            </w:r>
            <w:r w:rsidR="00747EDF" w:rsidRPr="00FD3CC8">
              <w:rPr>
                <w:b/>
                <w:i/>
                <w:color w:val="000000"/>
                <w:sz w:val="22"/>
                <w:szCs w:val="22"/>
              </w:rPr>
              <w:t>Внеочередное</w:t>
            </w:r>
            <w:r w:rsidR="00927276" w:rsidRPr="00FD3CC8">
              <w:rPr>
                <w:b/>
                <w:i/>
                <w:color w:val="000000"/>
                <w:sz w:val="22"/>
                <w:szCs w:val="22"/>
              </w:rPr>
              <w:t xml:space="preserve"> </w:t>
            </w:r>
            <w:r w:rsidRPr="00FD3CC8">
              <w:rPr>
                <w:b/>
                <w:i/>
                <w:color w:val="000000"/>
                <w:sz w:val="22"/>
                <w:szCs w:val="22"/>
              </w:rPr>
              <w:t>Общее собрание акционеров.</w:t>
            </w:r>
          </w:p>
          <w:p w:rsidR="00BB76DB" w:rsidRPr="00FD3CC8" w:rsidRDefault="00BB76DB" w:rsidP="00BB76DB">
            <w:pPr>
              <w:autoSpaceDE w:val="0"/>
              <w:autoSpaceDN w:val="0"/>
              <w:adjustRightInd w:val="0"/>
              <w:jc w:val="both"/>
              <w:outlineLvl w:val="3"/>
              <w:rPr>
                <w:b/>
                <w:i/>
                <w:color w:val="000000"/>
                <w:sz w:val="22"/>
                <w:szCs w:val="22"/>
              </w:rPr>
            </w:pPr>
            <w:r w:rsidRPr="00FD3CC8">
              <w:rPr>
                <w:color w:val="000000"/>
                <w:sz w:val="22"/>
                <w:szCs w:val="22"/>
              </w:rPr>
              <w:t xml:space="preserve">2.2. Форма проведения Общего собрания акционеров ПАО «Наука-Связь»: </w:t>
            </w:r>
            <w:r w:rsidRPr="00FD3CC8">
              <w:rPr>
                <w:b/>
                <w:i/>
                <w:color w:val="000000"/>
                <w:sz w:val="22"/>
                <w:szCs w:val="22"/>
              </w:rPr>
              <w:t>заочное голосование.</w:t>
            </w:r>
          </w:p>
          <w:p w:rsidR="00720EAE" w:rsidRPr="00FD3CC8" w:rsidRDefault="00BB76DB" w:rsidP="00720EAE">
            <w:pPr>
              <w:autoSpaceDE w:val="0"/>
              <w:autoSpaceDN w:val="0"/>
              <w:adjustRightInd w:val="0"/>
              <w:jc w:val="both"/>
              <w:outlineLvl w:val="3"/>
              <w:rPr>
                <w:b/>
                <w:bCs/>
                <w:i/>
                <w:iCs/>
                <w:color w:val="000000"/>
                <w:sz w:val="22"/>
                <w:szCs w:val="22"/>
              </w:rPr>
            </w:pPr>
            <w:r w:rsidRPr="00FD3CC8">
              <w:rPr>
                <w:color w:val="000000"/>
                <w:sz w:val="22"/>
                <w:szCs w:val="22"/>
              </w:rPr>
              <w:t xml:space="preserve">2.3. Дата, место, время проведения Общего собрания акционеров ПАО «Наука-Связь»: </w:t>
            </w:r>
            <w:r w:rsidRPr="00FD3CC8">
              <w:rPr>
                <w:b/>
                <w:i/>
                <w:iCs/>
                <w:color w:val="000000"/>
                <w:sz w:val="22"/>
                <w:szCs w:val="22"/>
              </w:rPr>
              <w:t>дата проведения общего собрания (дата окончания приема заполненных бюлл</w:t>
            </w:r>
            <w:r w:rsidR="00E002D9" w:rsidRPr="00FD3CC8">
              <w:rPr>
                <w:b/>
                <w:i/>
                <w:iCs/>
                <w:color w:val="000000"/>
                <w:sz w:val="22"/>
                <w:szCs w:val="22"/>
              </w:rPr>
              <w:t xml:space="preserve">етеней): </w:t>
            </w:r>
            <w:r w:rsidR="00FD3CC8" w:rsidRPr="00FD3CC8">
              <w:rPr>
                <w:b/>
                <w:bCs/>
                <w:i/>
                <w:iCs/>
                <w:color w:val="000000"/>
                <w:sz w:val="22"/>
                <w:szCs w:val="22"/>
              </w:rPr>
              <w:t>16</w:t>
            </w:r>
            <w:r w:rsidR="000441EA" w:rsidRPr="00FD3CC8">
              <w:rPr>
                <w:b/>
                <w:bCs/>
                <w:i/>
                <w:iCs/>
                <w:color w:val="000000"/>
                <w:sz w:val="22"/>
                <w:szCs w:val="22"/>
              </w:rPr>
              <w:t>.0</w:t>
            </w:r>
            <w:r w:rsidR="00FD3CC8" w:rsidRPr="00FD3CC8">
              <w:rPr>
                <w:b/>
                <w:bCs/>
                <w:i/>
                <w:iCs/>
                <w:color w:val="000000"/>
                <w:sz w:val="22"/>
                <w:szCs w:val="22"/>
              </w:rPr>
              <w:t>5</w:t>
            </w:r>
            <w:r w:rsidR="000441EA" w:rsidRPr="00FD3CC8">
              <w:rPr>
                <w:b/>
                <w:bCs/>
                <w:i/>
                <w:iCs/>
                <w:color w:val="000000"/>
                <w:sz w:val="22"/>
                <w:szCs w:val="22"/>
              </w:rPr>
              <w:t xml:space="preserve">.2024 </w:t>
            </w:r>
            <w:r w:rsidRPr="00FD3CC8">
              <w:rPr>
                <w:b/>
                <w:i/>
                <w:iCs/>
                <w:color w:val="000000"/>
                <w:sz w:val="22"/>
                <w:szCs w:val="22"/>
              </w:rPr>
              <w:t xml:space="preserve">г., </w:t>
            </w:r>
            <w:r w:rsidRPr="00FD3CC8">
              <w:rPr>
                <w:b/>
                <w:bCs/>
                <w:i/>
                <w:iCs/>
                <w:color w:val="000000"/>
                <w:sz w:val="22"/>
                <w:szCs w:val="22"/>
              </w:rPr>
              <w:t xml:space="preserve">почтовый адрес, по которому направлялись </w:t>
            </w:r>
            <w:r w:rsidR="00F9419E">
              <w:rPr>
                <w:b/>
                <w:bCs/>
                <w:i/>
                <w:iCs/>
                <w:color w:val="000000"/>
                <w:sz w:val="22"/>
                <w:szCs w:val="22"/>
              </w:rPr>
              <w:t>(могли направляться)</w:t>
            </w:r>
            <w:r w:rsidRPr="00FD3CC8">
              <w:rPr>
                <w:b/>
                <w:bCs/>
                <w:i/>
                <w:iCs/>
                <w:color w:val="000000"/>
                <w:sz w:val="22"/>
                <w:szCs w:val="22"/>
              </w:rPr>
              <w:t>заполненные бюллетени: Российская Федерация, 127287, г. Москва, 2-я Хуторская ул., д.38А., строение 15, ПАО «Наука-Связь»</w:t>
            </w:r>
            <w:r w:rsidR="009D1B3C" w:rsidRPr="00FD3CC8">
              <w:rPr>
                <w:b/>
                <w:bCs/>
                <w:i/>
                <w:iCs/>
                <w:color w:val="000000"/>
                <w:sz w:val="22"/>
                <w:szCs w:val="22"/>
              </w:rPr>
              <w:t xml:space="preserve"> (ВОСА)</w:t>
            </w:r>
            <w:r w:rsidR="00A113BA" w:rsidRPr="00FD3CC8">
              <w:rPr>
                <w:b/>
                <w:bCs/>
                <w:i/>
                <w:iCs/>
                <w:color w:val="000000"/>
                <w:sz w:val="22"/>
                <w:szCs w:val="22"/>
              </w:rPr>
              <w:t>.</w:t>
            </w:r>
          </w:p>
          <w:p w:rsidR="00720EAE" w:rsidRPr="006B659E" w:rsidRDefault="00720EAE" w:rsidP="00720EAE">
            <w:pPr>
              <w:autoSpaceDE w:val="0"/>
              <w:autoSpaceDN w:val="0"/>
              <w:adjustRightInd w:val="0"/>
              <w:jc w:val="both"/>
              <w:outlineLvl w:val="3"/>
              <w:rPr>
                <w:color w:val="000000"/>
                <w:sz w:val="22"/>
                <w:szCs w:val="22"/>
              </w:rPr>
            </w:pPr>
            <w:r w:rsidRPr="006B659E">
              <w:rPr>
                <w:color w:val="000000"/>
                <w:sz w:val="22"/>
                <w:szCs w:val="22"/>
              </w:rPr>
              <w:t xml:space="preserve">2.4. </w:t>
            </w:r>
            <w:r w:rsidR="001F4593" w:rsidRPr="006B659E">
              <w:rPr>
                <w:color w:val="000000"/>
                <w:sz w:val="22"/>
                <w:szCs w:val="22"/>
              </w:rPr>
              <w:t>Сведения о к</w:t>
            </w:r>
            <w:r w:rsidRPr="006B659E">
              <w:rPr>
                <w:color w:val="000000"/>
                <w:sz w:val="22"/>
                <w:szCs w:val="22"/>
              </w:rPr>
              <w:t>ворум</w:t>
            </w:r>
            <w:r w:rsidR="001F4593" w:rsidRPr="006B659E">
              <w:rPr>
                <w:color w:val="000000"/>
                <w:sz w:val="22"/>
                <w:szCs w:val="22"/>
              </w:rPr>
              <w:t>е</w:t>
            </w:r>
            <w:r w:rsidRPr="006B659E">
              <w:rPr>
                <w:color w:val="000000"/>
                <w:sz w:val="22"/>
                <w:szCs w:val="22"/>
              </w:rPr>
              <w:t xml:space="preserve"> Общего собрания акционеров ПАО «Наука-Связь»:</w:t>
            </w:r>
          </w:p>
          <w:p w:rsidR="006B659E" w:rsidRPr="00D90008" w:rsidRDefault="000063FE" w:rsidP="00D90008">
            <w:pPr>
              <w:rPr>
                <w:b/>
                <w:bCs/>
                <w:sz w:val="22"/>
                <w:szCs w:val="22"/>
              </w:rPr>
            </w:pPr>
            <w:r w:rsidRPr="006B659E">
              <w:rPr>
                <w:b/>
                <w:bCs/>
                <w:sz w:val="22"/>
                <w:szCs w:val="22"/>
              </w:rPr>
              <w:t>По первому вопросу повестки 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1"/>
              <w:gridCol w:w="2276"/>
            </w:tblGrid>
            <w:tr w:rsidR="006B659E" w:rsidRPr="00FA334E" w:rsidTr="006B659E">
              <w:trPr>
                <w:cantSplit/>
                <w:trHeight w:val="600"/>
              </w:trPr>
              <w:tc>
                <w:tcPr>
                  <w:tcW w:w="8181" w:type="dxa"/>
                  <w:shd w:val="clear" w:color="auto" w:fill="auto"/>
                </w:tcPr>
                <w:p w:rsidR="006B659E" w:rsidRPr="00FA334E" w:rsidRDefault="006B659E" w:rsidP="006B659E">
                  <w:pPr>
                    <w:keepNext/>
                    <w:spacing w:before="40" w:after="40"/>
                    <w:jc w:val="both"/>
                    <w:rPr>
                      <w:sz w:val="20"/>
                      <w:szCs w:val="20"/>
                    </w:rPr>
                  </w:pPr>
                  <w:r w:rsidRPr="00FA334E">
                    <w:rPr>
                      <w:sz w:val="20"/>
                      <w:szCs w:val="20"/>
                    </w:rPr>
                    <w:t>Число голосов, которыми по данному вопросу обладали лица, не заинтересованные в совершении обществом сделки, принявшие участие в общем собрании:</w:t>
                  </w:r>
                </w:p>
              </w:tc>
              <w:tc>
                <w:tcPr>
                  <w:tcW w:w="2276" w:type="dxa"/>
                  <w:shd w:val="clear" w:color="auto" w:fill="auto"/>
                  <w:vAlign w:val="bottom"/>
                </w:tcPr>
                <w:p w:rsidR="006B659E" w:rsidRPr="00FA334E" w:rsidRDefault="006B659E" w:rsidP="006B659E">
                  <w:pPr>
                    <w:spacing w:before="40" w:after="40"/>
                    <w:jc w:val="right"/>
                    <w:rPr>
                      <w:sz w:val="20"/>
                      <w:szCs w:val="20"/>
                    </w:rPr>
                  </w:pPr>
                  <w:r w:rsidRPr="00FA334E">
                    <w:rPr>
                      <w:sz w:val="20"/>
                      <w:szCs w:val="20"/>
                    </w:rPr>
                    <w:t>7 655 835</w:t>
                  </w:r>
                </w:p>
              </w:tc>
            </w:tr>
          </w:tbl>
          <w:p w:rsidR="006B659E" w:rsidRPr="00FA334E" w:rsidRDefault="006B659E" w:rsidP="006B659E">
            <w:pPr>
              <w:rPr>
                <w:vanish/>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3"/>
              <w:gridCol w:w="2279"/>
            </w:tblGrid>
            <w:tr w:rsidR="006B659E" w:rsidRPr="00231CBE" w:rsidTr="006B659E">
              <w:trPr>
                <w:cantSplit/>
                <w:trHeight w:val="269"/>
              </w:trPr>
              <w:tc>
                <w:tcPr>
                  <w:tcW w:w="8193" w:type="dxa"/>
                </w:tcPr>
                <w:p w:rsidR="006B659E" w:rsidRPr="00231CBE" w:rsidRDefault="006B659E" w:rsidP="006B659E">
                  <w:pPr>
                    <w:keepNext/>
                    <w:spacing w:before="40" w:after="40"/>
                    <w:rPr>
                      <w:b/>
                      <w:sz w:val="20"/>
                      <w:szCs w:val="20"/>
                    </w:rPr>
                  </w:pPr>
                  <w:r w:rsidRPr="00231CBE">
                    <w:rPr>
                      <w:b/>
                      <w:sz w:val="20"/>
                      <w:szCs w:val="20"/>
                    </w:rPr>
                    <w:t>Наличие кворума:</w:t>
                  </w:r>
                </w:p>
              </w:tc>
              <w:tc>
                <w:tcPr>
                  <w:tcW w:w="2279" w:type="dxa"/>
                  <w:vAlign w:val="bottom"/>
                </w:tcPr>
                <w:p w:rsidR="006B659E" w:rsidRPr="00231CBE" w:rsidRDefault="006B659E" w:rsidP="006B659E">
                  <w:pPr>
                    <w:keepNext/>
                    <w:spacing w:before="40" w:after="40"/>
                    <w:jc w:val="right"/>
                    <w:rPr>
                      <w:b/>
                      <w:sz w:val="20"/>
                      <w:szCs w:val="20"/>
                      <w:lang w:val="en-US"/>
                    </w:rPr>
                  </w:pPr>
                  <w:proofErr w:type="spellStart"/>
                  <w:r w:rsidRPr="00231CBE">
                    <w:rPr>
                      <w:b/>
                      <w:sz w:val="20"/>
                      <w:szCs w:val="20"/>
                      <w:lang w:val="en-US"/>
                    </w:rPr>
                    <w:t>есть</w:t>
                  </w:r>
                  <w:proofErr w:type="spellEnd"/>
                </w:p>
              </w:tc>
            </w:tr>
          </w:tbl>
          <w:p w:rsidR="0093367F" w:rsidRPr="00FD3CC8" w:rsidRDefault="0093367F" w:rsidP="00566093">
            <w:pPr>
              <w:widowControl/>
              <w:suppressAutoHyphens w:val="0"/>
              <w:rPr>
                <w:vanish/>
                <w:sz w:val="22"/>
                <w:szCs w:val="22"/>
                <w:lang w:bidi="ar-SA"/>
              </w:rPr>
            </w:pPr>
          </w:p>
          <w:p w:rsidR="000441EA" w:rsidRPr="00FD3CC8" w:rsidRDefault="000441EA" w:rsidP="003606F3">
            <w:pPr>
              <w:widowControl/>
              <w:suppressAutoHyphens w:val="0"/>
              <w:rPr>
                <w:b/>
                <w:bCs/>
                <w:vanish/>
                <w:sz w:val="22"/>
                <w:szCs w:val="22"/>
                <w:lang w:bidi="ar-SA"/>
              </w:rPr>
            </w:pPr>
          </w:p>
          <w:p w:rsidR="009D1B3C" w:rsidRPr="00FD3CC8" w:rsidRDefault="009D1B3C" w:rsidP="009D1B3C">
            <w:pPr>
              <w:widowControl/>
              <w:suppressAutoHyphens w:val="0"/>
              <w:rPr>
                <w:vanish/>
                <w:sz w:val="22"/>
                <w:szCs w:val="22"/>
                <w:lang w:bidi="ar-SA"/>
              </w:rPr>
            </w:pPr>
          </w:p>
          <w:p w:rsidR="003606F3" w:rsidRPr="00FD3CC8" w:rsidRDefault="003606F3" w:rsidP="00720EAE">
            <w:pPr>
              <w:rPr>
                <w:vanish/>
                <w:sz w:val="22"/>
                <w:szCs w:val="22"/>
              </w:rPr>
            </w:pPr>
          </w:p>
          <w:p w:rsidR="00720EAE" w:rsidRPr="00FD3CC8" w:rsidRDefault="00720EAE" w:rsidP="00720EAE">
            <w:pPr>
              <w:autoSpaceDE w:val="0"/>
              <w:autoSpaceDN w:val="0"/>
              <w:adjustRightInd w:val="0"/>
              <w:jc w:val="both"/>
              <w:outlineLvl w:val="3"/>
              <w:rPr>
                <w:color w:val="000000"/>
                <w:sz w:val="22"/>
                <w:szCs w:val="22"/>
              </w:rPr>
            </w:pPr>
            <w:r w:rsidRPr="00FD3CC8">
              <w:rPr>
                <w:color w:val="000000"/>
                <w:sz w:val="22"/>
                <w:szCs w:val="22"/>
              </w:rPr>
              <w:t>2.5. Повестка дня Общего собрания акционеров ПАО «Наука-Связь»:</w:t>
            </w:r>
          </w:p>
          <w:p w:rsidR="007F7DF6" w:rsidRPr="00FD3CC8" w:rsidRDefault="007F7DF6" w:rsidP="00FD3CC8">
            <w:pPr>
              <w:autoSpaceDE w:val="0"/>
              <w:autoSpaceDN w:val="0"/>
              <w:adjustRightInd w:val="0"/>
              <w:jc w:val="both"/>
              <w:outlineLvl w:val="3"/>
              <w:rPr>
                <w:b/>
                <w:bCs/>
                <w:i/>
                <w:iCs/>
                <w:color w:val="000000"/>
                <w:sz w:val="22"/>
                <w:szCs w:val="22"/>
                <w:lang w:bidi="ar-SA"/>
              </w:rPr>
            </w:pPr>
            <w:r w:rsidRPr="00FD3CC8">
              <w:rPr>
                <w:b/>
                <w:bCs/>
                <w:iCs/>
                <w:color w:val="000000"/>
                <w:sz w:val="22"/>
                <w:szCs w:val="22"/>
                <w:lang w:bidi="ar-SA"/>
              </w:rPr>
              <w:t>1.</w:t>
            </w:r>
            <w:r w:rsidRPr="00FD3CC8">
              <w:rPr>
                <w:b/>
                <w:bCs/>
                <w:i/>
                <w:iCs/>
                <w:color w:val="000000"/>
                <w:sz w:val="22"/>
                <w:szCs w:val="22"/>
                <w:lang w:bidi="ar-SA"/>
              </w:rPr>
              <w:tab/>
            </w:r>
            <w:r w:rsidR="00FD3CC8" w:rsidRPr="00FD3CC8">
              <w:rPr>
                <w:b/>
                <w:bCs/>
                <w:i/>
                <w:iCs/>
                <w:sz w:val="22"/>
                <w:szCs w:val="22"/>
                <w:lang w:bidi="ar-SA"/>
              </w:rPr>
              <w:t>О последующем одобрении сделки, в совершении которой имеется заинтересованность, а именно – заключение ПАО «Наука-Связь» с ПАО Сбербанк Договора поручительства № 7M-GAH-4JS-П2 в обеспечение исполнения обязательств Общества с ограниченной ответственностью «Наука-Связь» по Договору об открытии возобновляемой кредитной линии.</w:t>
            </w:r>
          </w:p>
          <w:p w:rsidR="000063FE" w:rsidRPr="006B659E" w:rsidRDefault="00720EAE" w:rsidP="00481C5B">
            <w:pPr>
              <w:autoSpaceDE w:val="0"/>
              <w:autoSpaceDN w:val="0"/>
              <w:adjustRightInd w:val="0"/>
              <w:jc w:val="both"/>
              <w:outlineLvl w:val="3"/>
              <w:rPr>
                <w:color w:val="000000"/>
                <w:sz w:val="22"/>
                <w:szCs w:val="22"/>
              </w:rPr>
            </w:pPr>
            <w:r w:rsidRPr="006B659E">
              <w:rPr>
                <w:color w:val="000000"/>
                <w:sz w:val="22"/>
                <w:szCs w:val="22"/>
              </w:rPr>
              <w:t>2.6. Результаты голосования по вопросам повестки дня Общего собрания акционеров ПАО «Наука-Связь», по которым имелся кворум:</w:t>
            </w:r>
          </w:p>
          <w:p w:rsidR="00AC7981" w:rsidRPr="00FD3CC8" w:rsidRDefault="00AC7981" w:rsidP="00AC7981">
            <w:pPr>
              <w:widowControl/>
              <w:tabs>
                <w:tab w:val="left" w:pos="6237"/>
              </w:tabs>
              <w:suppressAutoHyphens w:val="0"/>
              <w:jc w:val="both"/>
              <w:rPr>
                <w:b/>
                <w:color w:val="000000"/>
                <w:sz w:val="22"/>
                <w:szCs w:val="22"/>
                <w:lang w:bidi="ar-SA"/>
              </w:rPr>
            </w:pPr>
            <w:bookmarkStart w:id="5" w:name="_GoBack"/>
            <w:bookmarkEnd w:id="5"/>
            <w:r w:rsidRPr="006B659E">
              <w:rPr>
                <w:b/>
                <w:color w:val="000000"/>
                <w:sz w:val="22"/>
                <w:szCs w:val="22"/>
                <w:lang w:bidi="ar-SA"/>
              </w:rPr>
              <w:t xml:space="preserve">Итоги голосования по </w:t>
            </w:r>
            <w:r w:rsidR="00F9419E">
              <w:rPr>
                <w:b/>
                <w:color w:val="000000"/>
                <w:sz w:val="22"/>
                <w:szCs w:val="22"/>
                <w:lang w:bidi="ar-SA"/>
              </w:rPr>
              <w:t xml:space="preserve">первому </w:t>
            </w:r>
            <w:r w:rsidRPr="006B659E">
              <w:rPr>
                <w:b/>
                <w:color w:val="000000"/>
                <w:sz w:val="22"/>
                <w:szCs w:val="22"/>
                <w:lang w:bidi="ar-SA"/>
              </w:rPr>
              <w:t>вопросу повестки дня:</w:t>
            </w:r>
            <w:r w:rsidR="00FD3CC8" w:rsidRPr="00FD3CC8">
              <w:rPr>
                <w:b/>
                <w:color w:val="000000"/>
                <w:sz w:val="22"/>
                <w:szCs w:val="22"/>
                <w:lang w:bidi="ar-SA"/>
              </w:rPr>
              <w:t xml:space="preserve"> </w:t>
            </w:r>
          </w:p>
          <w:tbl>
            <w:tblPr>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1599"/>
              <w:gridCol w:w="1599"/>
              <w:gridCol w:w="1599"/>
              <w:gridCol w:w="1599"/>
              <w:gridCol w:w="1599"/>
              <w:gridCol w:w="1600"/>
            </w:tblGrid>
            <w:tr w:rsidR="006B659E" w:rsidRPr="00CF24D1" w:rsidTr="006B659E">
              <w:tblPrEx>
                <w:tblCellMar>
                  <w:top w:w="0" w:type="dxa"/>
                  <w:bottom w:w="0" w:type="dxa"/>
                </w:tblCellMar>
              </w:tblPrEx>
              <w:trPr>
                <w:cantSplit/>
                <w:trHeight w:val="522"/>
              </w:trPr>
              <w:tc>
                <w:tcPr>
                  <w:tcW w:w="908" w:type="dxa"/>
                  <w:vAlign w:val="center"/>
                </w:tcPr>
                <w:p w:rsidR="006B659E" w:rsidRPr="00201533" w:rsidRDefault="006B659E" w:rsidP="006B659E">
                  <w:pPr>
                    <w:keepNext/>
                    <w:spacing w:before="40" w:after="40"/>
                    <w:jc w:val="center"/>
                    <w:rPr>
                      <w:sz w:val="18"/>
                      <w:szCs w:val="18"/>
                    </w:rPr>
                  </w:pPr>
                </w:p>
              </w:tc>
              <w:tc>
                <w:tcPr>
                  <w:tcW w:w="1599" w:type="dxa"/>
                  <w:vAlign w:val="center"/>
                </w:tcPr>
                <w:p w:rsidR="006B659E" w:rsidRPr="00BF6285" w:rsidRDefault="006B659E" w:rsidP="006B659E">
                  <w:pPr>
                    <w:keepNext/>
                    <w:spacing w:before="40" w:after="40"/>
                    <w:jc w:val="center"/>
                    <w:rPr>
                      <w:b/>
                      <w:sz w:val="18"/>
                      <w:szCs w:val="18"/>
                    </w:rPr>
                  </w:pPr>
                  <w:r w:rsidRPr="00BF6285">
                    <w:rPr>
                      <w:b/>
                      <w:sz w:val="18"/>
                      <w:szCs w:val="18"/>
                    </w:rPr>
                    <w:t>Всего</w:t>
                  </w:r>
                </w:p>
              </w:tc>
              <w:tc>
                <w:tcPr>
                  <w:tcW w:w="1599" w:type="dxa"/>
                  <w:vAlign w:val="center"/>
                </w:tcPr>
                <w:p w:rsidR="006B659E" w:rsidRPr="00BF6285" w:rsidRDefault="006B659E" w:rsidP="006B659E">
                  <w:pPr>
                    <w:keepNext/>
                    <w:spacing w:before="40" w:after="40"/>
                    <w:jc w:val="center"/>
                    <w:rPr>
                      <w:b/>
                      <w:sz w:val="18"/>
                      <w:szCs w:val="18"/>
                    </w:rPr>
                  </w:pPr>
                  <w:r w:rsidRPr="00BF6285">
                    <w:rPr>
                      <w:b/>
                      <w:sz w:val="18"/>
                      <w:szCs w:val="18"/>
                    </w:rPr>
                    <w:t>«За»</w:t>
                  </w:r>
                </w:p>
              </w:tc>
              <w:tc>
                <w:tcPr>
                  <w:tcW w:w="1599" w:type="dxa"/>
                  <w:vAlign w:val="center"/>
                </w:tcPr>
                <w:p w:rsidR="006B659E" w:rsidRPr="00BF6285" w:rsidRDefault="006B659E" w:rsidP="006B659E">
                  <w:pPr>
                    <w:keepNext/>
                    <w:spacing w:before="40" w:after="40"/>
                    <w:jc w:val="center"/>
                    <w:rPr>
                      <w:b/>
                      <w:sz w:val="18"/>
                      <w:szCs w:val="18"/>
                    </w:rPr>
                  </w:pPr>
                  <w:r w:rsidRPr="00BF6285">
                    <w:rPr>
                      <w:b/>
                      <w:sz w:val="18"/>
                      <w:szCs w:val="18"/>
                    </w:rPr>
                    <w:t>«Против»</w:t>
                  </w:r>
                </w:p>
              </w:tc>
              <w:tc>
                <w:tcPr>
                  <w:tcW w:w="1599" w:type="dxa"/>
                  <w:vAlign w:val="center"/>
                </w:tcPr>
                <w:p w:rsidR="006B659E" w:rsidRPr="00BF6285" w:rsidRDefault="006B659E" w:rsidP="006B659E">
                  <w:pPr>
                    <w:keepNext/>
                    <w:spacing w:before="40" w:after="40"/>
                    <w:jc w:val="center"/>
                    <w:rPr>
                      <w:b/>
                      <w:sz w:val="18"/>
                      <w:szCs w:val="18"/>
                    </w:rPr>
                  </w:pPr>
                  <w:r w:rsidRPr="00BF6285">
                    <w:rPr>
                      <w:b/>
                      <w:sz w:val="18"/>
                      <w:szCs w:val="18"/>
                    </w:rPr>
                    <w:t>«Воздержался»</w:t>
                  </w:r>
                </w:p>
              </w:tc>
              <w:tc>
                <w:tcPr>
                  <w:tcW w:w="1599" w:type="dxa"/>
                  <w:vAlign w:val="center"/>
                </w:tcPr>
                <w:p w:rsidR="006B659E" w:rsidRDefault="006B659E" w:rsidP="006B659E">
                  <w:pPr>
                    <w:keepNext/>
                    <w:spacing w:before="40" w:after="40"/>
                    <w:jc w:val="center"/>
                    <w:rPr>
                      <w:b/>
                      <w:spacing w:val="-14"/>
                      <w:sz w:val="18"/>
                      <w:szCs w:val="18"/>
                    </w:rPr>
                  </w:pPr>
                  <w:proofErr w:type="spellStart"/>
                  <w:r w:rsidRPr="002D0C4D">
                    <w:rPr>
                      <w:b/>
                      <w:spacing w:val="-14"/>
                      <w:sz w:val="18"/>
                      <w:szCs w:val="18"/>
                    </w:rPr>
                    <w:t>Недейств</w:t>
                  </w:r>
                  <w:proofErr w:type="spellEnd"/>
                  <w:proofErr w:type="gramStart"/>
                  <w:r w:rsidRPr="002D0C4D">
                    <w:rPr>
                      <w:b/>
                      <w:spacing w:val="-14"/>
                      <w:sz w:val="18"/>
                      <w:szCs w:val="18"/>
                    </w:rPr>
                    <w:t>.</w:t>
                  </w:r>
                  <w:proofErr w:type="gramEnd"/>
                  <w:r>
                    <w:rPr>
                      <w:b/>
                      <w:spacing w:val="-14"/>
                      <w:sz w:val="18"/>
                      <w:szCs w:val="18"/>
                    </w:rPr>
                    <w:t xml:space="preserve"> </w:t>
                  </w:r>
                  <w:r w:rsidRPr="002D0C4D">
                    <w:rPr>
                      <w:b/>
                      <w:spacing w:val="-14"/>
                      <w:sz w:val="18"/>
                      <w:szCs w:val="18"/>
                    </w:rPr>
                    <w:t xml:space="preserve">и </w:t>
                  </w:r>
                </w:p>
                <w:p w:rsidR="006B659E" w:rsidRPr="002D0C4D" w:rsidRDefault="006B659E" w:rsidP="006B659E">
                  <w:pPr>
                    <w:keepNext/>
                    <w:spacing w:before="40" w:after="40"/>
                    <w:jc w:val="center"/>
                    <w:rPr>
                      <w:b/>
                      <w:spacing w:val="-14"/>
                      <w:sz w:val="18"/>
                      <w:szCs w:val="18"/>
                    </w:rPr>
                  </w:pPr>
                  <w:r w:rsidRPr="002D0C4D">
                    <w:rPr>
                      <w:b/>
                      <w:spacing w:val="-14"/>
                      <w:sz w:val="18"/>
                      <w:szCs w:val="18"/>
                    </w:rPr>
                    <w:t xml:space="preserve">неподсчитанные* </w:t>
                  </w:r>
                </w:p>
              </w:tc>
              <w:tc>
                <w:tcPr>
                  <w:tcW w:w="1600" w:type="dxa"/>
                  <w:vAlign w:val="center"/>
                </w:tcPr>
                <w:p w:rsidR="006B659E" w:rsidRPr="00BF6285" w:rsidRDefault="006B659E" w:rsidP="006B659E">
                  <w:pPr>
                    <w:keepNext/>
                    <w:spacing w:before="40" w:after="40"/>
                    <w:jc w:val="center"/>
                    <w:rPr>
                      <w:b/>
                      <w:sz w:val="18"/>
                      <w:szCs w:val="18"/>
                    </w:rPr>
                  </w:pPr>
                  <w:r w:rsidRPr="00BF6285">
                    <w:rPr>
                      <w:b/>
                      <w:sz w:val="18"/>
                      <w:szCs w:val="18"/>
                    </w:rPr>
                    <w:t>Не голосовали</w:t>
                  </w:r>
                </w:p>
              </w:tc>
            </w:tr>
            <w:tr w:rsidR="006B659E" w:rsidRPr="006B659E" w:rsidTr="006B659E">
              <w:tblPrEx>
                <w:tblCellMar>
                  <w:top w:w="0" w:type="dxa"/>
                  <w:bottom w:w="0" w:type="dxa"/>
                </w:tblCellMar>
              </w:tblPrEx>
              <w:trPr>
                <w:cantSplit/>
                <w:trHeight w:val="276"/>
              </w:trPr>
              <w:tc>
                <w:tcPr>
                  <w:tcW w:w="908" w:type="dxa"/>
                  <w:vAlign w:val="center"/>
                </w:tcPr>
                <w:p w:rsidR="006B659E" w:rsidRPr="00820C53" w:rsidRDefault="006B659E" w:rsidP="006B659E">
                  <w:pPr>
                    <w:keepNext/>
                    <w:spacing w:before="40" w:after="40"/>
                    <w:jc w:val="center"/>
                    <w:rPr>
                      <w:sz w:val="20"/>
                      <w:szCs w:val="20"/>
                    </w:rPr>
                  </w:pPr>
                  <w:r w:rsidRPr="00820C53">
                    <w:rPr>
                      <w:sz w:val="20"/>
                      <w:szCs w:val="20"/>
                    </w:rPr>
                    <w:t>Голоса</w:t>
                  </w:r>
                </w:p>
              </w:tc>
              <w:tc>
                <w:tcPr>
                  <w:tcW w:w="1599" w:type="dxa"/>
                  <w:vAlign w:val="bottom"/>
                </w:tcPr>
                <w:p w:rsidR="006B659E" w:rsidRPr="006B659E" w:rsidRDefault="006B659E" w:rsidP="006B659E">
                  <w:pPr>
                    <w:keepNext/>
                    <w:spacing w:before="40" w:after="40"/>
                    <w:jc w:val="right"/>
                    <w:rPr>
                      <w:b/>
                      <w:sz w:val="16"/>
                      <w:szCs w:val="16"/>
                    </w:rPr>
                  </w:pPr>
                  <w:r w:rsidRPr="006B659E">
                    <w:rPr>
                      <w:b/>
                      <w:sz w:val="16"/>
                      <w:szCs w:val="16"/>
                    </w:rPr>
                    <w:t>7 655 835</w:t>
                  </w:r>
                </w:p>
              </w:tc>
              <w:tc>
                <w:tcPr>
                  <w:tcW w:w="1599" w:type="dxa"/>
                  <w:vAlign w:val="bottom"/>
                </w:tcPr>
                <w:p w:rsidR="006B659E" w:rsidRPr="006B659E" w:rsidRDefault="006B659E" w:rsidP="006B659E">
                  <w:pPr>
                    <w:keepNext/>
                    <w:spacing w:before="40" w:after="40"/>
                    <w:jc w:val="right"/>
                    <w:rPr>
                      <w:b/>
                      <w:sz w:val="16"/>
                      <w:szCs w:val="16"/>
                    </w:rPr>
                  </w:pPr>
                  <w:r w:rsidRPr="006B659E">
                    <w:rPr>
                      <w:b/>
                      <w:sz w:val="16"/>
                      <w:szCs w:val="16"/>
                    </w:rPr>
                    <w:t>7 655 695</w:t>
                  </w:r>
                </w:p>
              </w:tc>
              <w:tc>
                <w:tcPr>
                  <w:tcW w:w="1599" w:type="dxa"/>
                  <w:vAlign w:val="bottom"/>
                </w:tcPr>
                <w:p w:rsidR="006B659E" w:rsidRPr="006B659E" w:rsidRDefault="006B659E" w:rsidP="006B659E">
                  <w:pPr>
                    <w:keepNext/>
                    <w:spacing w:before="40" w:after="40"/>
                    <w:jc w:val="right"/>
                    <w:rPr>
                      <w:b/>
                      <w:sz w:val="16"/>
                      <w:szCs w:val="16"/>
                    </w:rPr>
                  </w:pPr>
                  <w:r w:rsidRPr="006B659E">
                    <w:rPr>
                      <w:b/>
                      <w:sz w:val="16"/>
                      <w:szCs w:val="16"/>
                    </w:rPr>
                    <w:t xml:space="preserve"> 140</w:t>
                  </w:r>
                </w:p>
              </w:tc>
              <w:tc>
                <w:tcPr>
                  <w:tcW w:w="1599" w:type="dxa"/>
                  <w:vAlign w:val="bottom"/>
                </w:tcPr>
                <w:p w:rsidR="006B659E" w:rsidRPr="006B659E" w:rsidRDefault="006B659E" w:rsidP="006B659E">
                  <w:pPr>
                    <w:keepNext/>
                    <w:spacing w:before="40" w:after="40"/>
                    <w:jc w:val="right"/>
                    <w:rPr>
                      <w:b/>
                      <w:sz w:val="16"/>
                      <w:szCs w:val="16"/>
                    </w:rPr>
                  </w:pPr>
                  <w:r w:rsidRPr="006B659E">
                    <w:rPr>
                      <w:b/>
                      <w:sz w:val="16"/>
                      <w:szCs w:val="16"/>
                    </w:rPr>
                    <w:t>0</w:t>
                  </w:r>
                </w:p>
              </w:tc>
              <w:tc>
                <w:tcPr>
                  <w:tcW w:w="1599" w:type="dxa"/>
                  <w:vAlign w:val="bottom"/>
                </w:tcPr>
                <w:p w:rsidR="006B659E" w:rsidRPr="006B659E" w:rsidRDefault="006B659E" w:rsidP="006B659E">
                  <w:pPr>
                    <w:keepNext/>
                    <w:spacing w:before="40" w:after="40"/>
                    <w:jc w:val="right"/>
                    <w:rPr>
                      <w:b/>
                      <w:sz w:val="16"/>
                      <w:szCs w:val="16"/>
                    </w:rPr>
                  </w:pPr>
                  <w:r w:rsidRPr="006B659E">
                    <w:rPr>
                      <w:b/>
                      <w:sz w:val="16"/>
                      <w:szCs w:val="16"/>
                    </w:rPr>
                    <w:t>0</w:t>
                  </w:r>
                </w:p>
              </w:tc>
              <w:tc>
                <w:tcPr>
                  <w:tcW w:w="1600" w:type="dxa"/>
                  <w:vAlign w:val="bottom"/>
                </w:tcPr>
                <w:p w:rsidR="006B659E" w:rsidRPr="006B659E" w:rsidRDefault="006B659E" w:rsidP="006B659E">
                  <w:pPr>
                    <w:keepNext/>
                    <w:spacing w:before="40" w:after="40"/>
                    <w:jc w:val="right"/>
                    <w:rPr>
                      <w:b/>
                      <w:sz w:val="16"/>
                      <w:szCs w:val="16"/>
                    </w:rPr>
                  </w:pPr>
                  <w:r w:rsidRPr="006B659E">
                    <w:rPr>
                      <w:b/>
                      <w:sz w:val="16"/>
                      <w:szCs w:val="16"/>
                    </w:rPr>
                    <w:t>0</w:t>
                  </w:r>
                </w:p>
              </w:tc>
            </w:tr>
            <w:tr w:rsidR="006B659E" w:rsidRPr="00B56921" w:rsidTr="006B659E">
              <w:tblPrEx>
                <w:tblCellMar>
                  <w:top w:w="0" w:type="dxa"/>
                  <w:bottom w:w="0" w:type="dxa"/>
                </w:tblCellMar>
              </w:tblPrEx>
              <w:trPr>
                <w:cantSplit/>
                <w:trHeight w:val="276"/>
              </w:trPr>
              <w:tc>
                <w:tcPr>
                  <w:tcW w:w="908" w:type="dxa"/>
                  <w:vAlign w:val="center"/>
                </w:tcPr>
                <w:p w:rsidR="006B659E" w:rsidRPr="00B56921" w:rsidRDefault="006B659E" w:rsidP="006B659E">
                  <w:pPr>
                    <w:spacing w:before="40" w:after="40"/>
                    <w:jc w:val="center"/>
                    <w:rPr>
                      <w:sz w:val="20"/>
                      <w:szCs w:val="20"/>
                    </w:rPr>
                  </w:pPr>
                  <w:r w:rsidRPr="00B56921">
                    <w:rPr>
                      <w:sz w:val="20"/>
                      <w:szCs w:val="20"/>
                    </w:rPr>
                    <w:t>%</w:t>
                  </w:r>
                </w:p>
              </w:tc>
              <w:tc>
                <w:tcPr>
                  <w:tcW w:w="1599" w:type="dxa"/>
                  <w:vAlign w:val="bottom"/>
                </w:tcPr>
                <w:p w:rsidR="006B659E" w:rsidRPr="006B659E" w:rsidRDefault="006B659E" w:rsidP="006B659E">
                  <w:pPr>
                    <w:spacing w:before="40" w:after="40"/>
                    <w:jc w:val="right"/>
                    <w:rPr>
                      <w:b/>
                      <w:sz w:val="16"/>
                      <w:szCs w:val="16"/>
                    </w:rPr>
                  </w:pPr>
                  <w:r w:rsidRPr="006B659E">
                    <w:rPr>
                      <w:b/>
                      <w:sz w:val="16"/>
                      <w:szCs w:val="16"/>
                    </w:rPr>
                    <w:t>100,00</w:t>
                  </w:r>
                </w:p>
              </w:tc>
              <w:tc>
                <w:tcPr>
                  <w:tcW w:w="1599" w:type="dxa"/>
                  <w:vAlign w:val="bottom"/>
                </w:tcPr>
                <w:p w:rsidR="006B659E" w:rsidRPr="006B659E" w:rsidRDefault="006B659E" w:rsidP="006B659E">
                  <w:pPr>
                    <w:spacing w:before="40" w:after="40"/>
                    <w:jc w:val="right"/>
                    <w:rPr>
                      <w:b/>
                      <w:sz w:val="16"/>
                      <w:szCs w:val="16"/>
                    </w:rPr>
                  </w:pPr>
                  <w:r w:rsidRPr="006B659E">
                    <w:rPr>
                      <w:b/>
                      <w:sz w:val="16"/>
                      <w:szCs w:val="16"/>
                    </w:rPr>
                    <w:t>100,00</w:t>
                  </w:r>
                </w:p>
              </w:tc>
              <w:tc>
                <w:tcPr>
                  <w:tcW w:w="1599" w:type="dxa"/>
                  <w:vAlign w:val="bottom"/>
                </w:tcPr>
                <w:p w:rsidR="006B659E" w:rsidRPr="006B659E" w:rsidRDefault="006B659E" w:rsidP="006B659E">
                  <w:pPr>
                    <w:spacing w:before="40" w:after="40"/>
                    <w:jc w:val="right"/>
                    <w:rPr>
                      <w:b/>
                      <w:sz w:val="16"/>
                      <w:szCs w:val="16"/>
                    </w:rPr>
                  </w:pPr>
                  <w:r w:rsidRPr="006B659E">
                    <w:rPr>
                      <w:b/>
                      <w:sz w:val="16"/>
                      <w:szCs w:val="16"/>
                    </w:rPr>
                    <w:t>0,00</w:t>
                  </w:r>
                </w:p>
              </w:tc>
              <w:tc>
                <w:tcPr>
                  <w:tcW w:w="1599" w:type="dxa"/>
                  <w:vAlign w:val="bottom"/>
                </w:tcPr>
                <w:p w:rsidR="006B659E" w:rsidRPr="006B659E" w:rsidRDefault="006B659E" w:rsidP="006B659E">
                  <w:pPr>
                    <w:spacing w:before="40" w:after="40"/>
                    <w:jc w:val="right"/>
                    <w:rPr>
                      <w:b/>
                      <w:sz w:val="16"/>
                      <w:szCs w:val="16"/>
                    </w:rPr>
                  </w:pPr>
                  <w:r w:rsidRPr="006B659E">
                    <w:rPr>
                      <w:b/>
                      <w:sz w:val="16"/>
                      <w:szCs w:val="16"/>
                    </w:rPr>
                    <w:t>0,00</w:t>
                  </w:r>
                </w:p>
              </w:tc>
              <w:tc>
                <w:tcPr>
                  <w:tcW w:w="1599" w:type="dxa"/>
                  <w:vAlign w:val="bottom"/>
                </w:tcPr>
                <w:p w:rsidR="006B659E" w:rsidRPr="006B659E" w:rsidRDefault="006B659E" w:rsidP="006B659E">
                  <w:pPr>
                    <w:spacing w:before="40" w:after="40"/>
                    <w:jc w:val="right"/>
                    <w:rPr>
                      <w:b/>
                      <w:sz w:val="16"/>
                      <w:szCs w:val="16"/>
                    </w:rPr>
                  </w:pPr>
                  <w:r w:rsidRPr="006B659E">
                    <w:rPr>
                      <w:b/>
                      <w:sz w:val="16"/>
                      <w:szCs w:val="16"/>
                    </w:rPr>
                    <w:t>0,00</w:t>
                  </w:r>
                </w:p>
              </w:tc>
              <w:tc>
                <w:tcPr>
                  <w:tcW w:w="1600" w:type="dxa"/>
                  <w:vAlign w:val="bottom"/>
                </w:tcPr>
                <w:p w:rsidR="006B659E" w:rsidRPr="006B659E" w:rsidRDefault="006B659E" w:rsidP="006B659E">
                  <w:pPr>
                    <w:spacing w:before="40" w:after="40"/>
                    <w:jc w:val="right"/>
                    <w:rPr>
                      <w:b/>
                      <w:sz w:val="16"/>
                      <w:szCs w:val="16"/>
                    </w:rPr>
                  </w:pPr>
                  <w:r w:rsidRPr="006B659E">
                    <w:rPr>
                      <w:b/>
                      <w:sz w:val="16"/>
                      <w:szCs w:val="16"/>
                    </w:rPr>
                    <w:t>0,00</w:t>
                  </w:r>
                </w:p>
              </w:tc>
            </w:tr>
          </w:tbl>
          <w:p w:rsidR="00F128F0" w:rsidRPr="00FD3CC8" w:rsidRDefault="00F128F0" w:rsidP="00481C5B">
            <w:pPr>
              <w:autoSpaceDE w:val="0"/>
              <w:autoSpaceDN w:val="0"/>
              <w:adjustRightInd w:val="0"/>
              <w:jc w:val="both"/>
              <w:outlineLvl w:val="3"/>
              <w:rPr>
                <w:color w:val="000000"/>
                <w:sz w:val="22"/>
                <w:szCs w:val="22"/>
              </w:rPr>
            </w:pPr>
            <w:r w:rsidRPr="00FD3CC8">
              <w:rPr>
                <w:color w:val="000000"/>
                <w:sz w:val="22"/>
                <w:szCs w:val="22"/>
              </w:rPr>
              <w:t>2.7. Формулировки решений, принятых Общим собранием акционеров ПАО «Наука-Связь»</w:t>
            </w:r>
            <w:r w:rsidR="001F4593" w:rsidRPr="00FD3CC8">
              <w:rPr>
                <w:color w:val="000000"/>
                <w:sz w:val="22"/>
                <w:szCs w:val="22"/>
              </w:rPr>
              <w:t xml:space="preserve"> по указанным вопросам</w:t>
            </w:r>
            <w:r w:rsidRPr="00FD3CC8">
              <w:rPr>
                <w:color w:val="000000"/>
                <w:sz w:val="22"/>
                <w:szCs w:val="22"/>
              </w:rPr>
              <w:t>:</w:t>
            </w:r>
          </w:p>
          <w:p w:rsidR="000441EA" w:rsidRPr="00FD3CC8" w:rsidRDefault="000441EA" w:rsidP="000441EA">
            <w:pPr>
              <w:rPr>
                <w:b/>
                <w:bCs/>
                <w:sz w:val="22"/>
                <w:szCs w:val="22"/>
              </w:rPr>
            </w:pPr>
            <w:r w:rsidRPr="00FD3CC8">
              <w:rPr>
                <w:b/>
                <w:bCs/>
                <w:sz w:val="22"/>
                <w:szCs w:val="22"/>
              </w:rPr>
              <w:t>По первому вопросу повестки дня:</w:t>
            </w:r>
          </w:p>
          <w:p w:rsidR="0093367F" w:rsidRPr="0093367F" w:rsidRDefault="0093367F" w:rsidP="0093367F">
            <w:pPr>
              <w:autoSpaceDE w:val="0"/>
              <w:autoSpaceDN w:val="0"/>
              <w:adjustRightInd w:val="0"/>
              <w:jc w:val="both"/>
              <w:outlineLvl w:val="3"/>
              <w:rPr>
                <w:b/>
                <w:bCs/>
                <w:i/>
                <w:color w:val="000000"/>
                <w:sz w:val="22"/>
                <w:szCs w:val="22"/>
              </w:rPr>
            </w:pPr>
            <w:bookmarkStart w:id="6" w:name="_Hlk136599121"/>
            <w:bookmarkStart w:id="7" w:name="_Hlk143770973"/>
            <w:r w:rsidRPr="0093367F">
              <w:rPr>
                <w:b/>
                <w:bCs/>
                <w:i/>
                <w:color w:val="000000"/>
                <w:sz w:val="22"/>
                <w:szCs w:val="22"/>
              </w:rPr>
              <w:t>1. Одобрить заключение ПАО «Наука-Связь» (Поручитель) с ПАО Сбербанк (Банк, Кредитор) Договора поручительства №</w:t>
            </w:r>
            <w:r w:rsidRPr="0093367F">
              <w:rPr>
                <w:b/>
                <w:bCs/>
                <w:i/>
                <w:iCs/>
                <w:color w:val="000000"/>
                <w:sz w:val="22"/>
                <w:szCs w:val="22"/>
              </w:rPr>
              <w:t xml:space="preserve">7M-GAH-4JS-П2 </w:t>
            </w:r>
            <w:r w:rsidRPr="0093367F">
              <w:rPr>
                <w:b/>
                <w:bCs/>
                <w:i/>
                <w:color w:val="000000"/>
                <w:sz w:val="22"/>
                <w:szCs w:val="22"/>
              </w:rPr>
              <w:t>в обеспечение исполнения обязательств Общества с ограниченной ответственностью «Наука-Связь» (Должник, Заемщик) по Договору об открытии возобновляемой кредитной линии (Договор), являющегося для ПАО «Наука-Связь» сделкой, в совершении которой имеется заинтересованность, на следующих условиях:</w:t>
            </w:r>
          </w:p>
          <w:p w:rsidR="0093367F" w:rsidRPr="0093367F" w:rsidRDefault="0093367F" w:rsidP="0093367F">
            <w:pPr>
              <w:autoSpaceDE w:val="0"/>
              <w:autoSpaceDN w:val="0"/>
              <w:adjustRightInd w:val="0"/>
              <w:jc w:val="both"/>
              <w:outlineLvl w:val="3"/>
              <w:rPr>
                <w:b/>
                <w:bCs/>
                <w:i/>
                <w:color w:val="000000"/>
                <w:sz w:val="22"/>
                <w:szCs w:val="22"/>
              </w:rPr>
            </w:pPr>
            <w:r w:rsidRPr="0093367F">
              <w:rPr>
                <w:b/>
                <w:bCs/>
                <w:i/>
                <w:color w:val="000000"/>
                <w:sz w:val="22"/>
                <w:szCs w:val="22"/>
              </w:rPr>
              <w:t>Поручитель обязуется солидарно отвечать перед Банком за исполнение ООО «Наука-Связь» всех обязательств по Основному договору, заключенному между Банком и Должником.</w:t>
            </w:r>
          </w:p>
          <w:p w:rsidR="0093367F" w:rsidRPr="0093367F" w:rsidRDefault="0093367F" w:rsidP="0093367F">
            <w:pPr>
              <w:autoSpaceDE w:val="0"/>
              <w:autoSpaceDN w:val="0"/>
              <w:adjustRightInd w:val="0"/>
              <w:jc w:val="both"/>
              <w:outlineLvl w:val="3"/>
              <w:rPr>
                <w:b/>
                <w:bCs/>
                <w:i/>
                <w:color w:val="000000"/>
                <w:sz w:val="22"/>
                <w:szCs w:val="22"/>
              </w:rPr>
            </w:pPr>
            <w:r w:rsidRPr="0093367F">
              <w:rPr>
                <w:b/>
                <w:bCs/>
                <w:i/>
                <w:iCs/>
                <w:color w:val="000000"/>
                <w:sz w:val="22"/>
                <w:szCs w:val="22"/>
              </w:rPr>
              <w:t xml:space="preserve">- Целевое назначение кредита: </w:t>
            </w:r>
            <w:r w:rsidRPr="0093367F">
              <w:rPr>
                <w:b/>
                <w:bCs/>
                <w:i/>
                <w:color w:val="000000"/>
                <w:sz w:val="22"/>
                <w:szCs w:val="22"/>
              </w:rPr>
              <w:t>Пополнение оборотных средств.</w:t>
            </w:r>
          </w:p>
          <w:p w:rsidR="0093367F" w:rsidRPr="0093367F" w:rsidRDefault="0093367F" w:rsidP="0093367F">
            <w:pPr>
              <w:autoSpaceDE w:val="0"/>
              <w:autoSpaceDN w:val="0"/>
              <w:adjustRightInd w:val="0"/>
              <w:jc w:val="both"/>
              <w:outlineLvl w:val="3"/>
              <w:rPr>
                <w:b/>
                <w:bCs/>
                <w:i/>
                <w:color w:val="000000"/>
                <w:sz w:val="22"/>
                <w:szCs w:val="22"/>
              </w:rPr>
            </w:pPr>
            <w:r w:rsidRPr="0093367F">
              <w:rPr>
                <w:b/>
                <w:bCs/>
                <w:i/>
                <w:iCs/>
                <w:color w:val="000000"/>
                <w:sz w:val="22"/>
                <w:szCs w:val="22"/>
              </w:rPr>
              <w:t xml:space="preserve">- Размер кредита: </w:t>
            </w:r>
            <w:r w:rsidRPr="0093367F">
              <w:rPr>
                <w:b/>
                <w:bCs/>
                <w:i/>
                <w:color w:val="000000"/>
                <w:sz w:val="22"/>
                <w:szCs w:val="22"/>
              </w:rPr>
              <w:t>500 000 000 (Пятьсот миллионов) рублей.</w:t>
            </w:r>
          </w:p>
          <w:p w:rsidR="0093367F" w:rsidRPr="0093367F" w:rsidRDefault="0093367F" w:rsidP="0093367F">
            <w:pPr>
              <w:autoSpaceDE w:val="0"/>
              <w:autoSpaceDN w:val="0"/>
              <w:adjustRightInd w:val="0"/>
              <w:jc w:val="both"/>
              <w:outlineLvl w:val="3"/>
              <w:rPr>
                <w:b/>
                <w:bCs/>
                <w:i/>
                <w:color w:val="000000"/>
                <w:sz w:val="22"/>
                <w:szCs w:val="22"/>
              </w:rPr>
            </w:pPr>
            <w:r w:rsidRPr="0093367F">
              <w:rPr>
                <w:b/>
                <w:bCs/>
                <w:i/>
                <w:iCs/>
                <w:color w:val="000000"/>
                <w:sz w:val="22"/>
                <w:szCs w:val="22"/>
              </w:rPr>
              <w:t xml:space="preserve">- Срок кредитования: </w:t>
            </w:r>
            <w:bookmarkStart w:id="8" w:name="_Hlk162450883"/>
            <w:r w:rsidRPr="0093367F">
              <w:rPr>
                <w:b/>
                <w:bCs/>
                <w:i/>
                <w:color w:val="000000"/>
                <w:sz w:val="22"/>
                <w:szCs w:val="22"/>
              </w:rPr>
              <w:t>по «29» ноября 2024 г. (включительно).</w:t>
            </w:r>
            <w:bookmarkEnd w:id="8"/>
          </w:p>
          <w:p w:rsidR="0093367F" w:rsidRPr="0093367F" w:rsidRDefault="0093367F" w:rsidP="0093367F">
            <w:pPr>
              <w:autoSpaceDE w:val="0"/>
              <w:autoSpaceDN w:val="0"/>
              <w:adjustRightInd w:val="0"/>
              <w:jc w:val="both"/>
              <w:outlineLvl w:val="3"/>
              <w:rPr>
                <w:b/>
                <w:bCs/>
                <w:i/>
                <w:color w:val="000000"/>
                <w:sz w:val="22"/>
                <w:szCs w:val="22"/>
              </w:rPr>
            </w:pPr>
            <w:r w:rsidRPr="0093367F">
              <w:rPr>
                <w:b/>
                <w:bCs/>
                <w:i/>
                <w:iCs/>
                <w:color w:val="000000"/>
                <w:sz w:val="22"/>
                <w:szCs w:val="22"/>
              </w:rPr>
              <w:t>- Размер процентной ставки:</w:t>
            </w:r>
            <w:r w:rsidRPr="0093367F">
              <w:rPr>
                <w:b/>
                <w:bCs/>
                <w:i/>
                <w:color w:val="000000"/>
                <w:sz w:val="22"/>
                <w:szCs w:val="22"/>
              </w:rPr>
              <w:t xml:space="preserve"> в период льготного кредитования (в период субсидирования Кредитора) в рамках Правил Заемщик уплачивает Кредитору проценты за пользование кредитом в валюте кредита по </w:t>
            </w:r>
            <w:r w:rsidRPr="0093367F">
              <w:rPr>
                <w:b/>
                <w:bCs/>
                <w:i/>
                <w:color w:val="000000"/>
                <w:sz w:val="22"/>
                <w:szCs w:val="22"/>
              </w:rPr>
              <w:lastRenderedPageBreak/>
              <w:t>Льготной процентной ставке в размере 13,5 (Тринадцать целых пять десятых) процентов годовых.</w:t>
            </w:r>
          </w:p>
          <w:p w:rsidR="0093367F" w:rsidRPr="0093367F" w:rsidRDefault="0093367F" w:rsidP="0093367F">
            <w:pPr>
              <w:autoSpaceDE w:val="0"/>
              <w:autoSpaceDN w:val="0"/>
              <w:adjustRightInd w:val="0"/>
              <w:jc w:val="both"/>
              <w:outlineLvl w:val="3"/>
              <w:rPr>
                <w:b/>
                <w:bCs/>
                <w:i/>
                <w:color w:val="000000"/>
                <w:sz w:val="22"/>
                <w:szCs w:val="22"/>
              </w:rPr>
            </w:pPr>
            <w:r w:rsidRPr="0093367F">
              <w:rPr>
                <w:b/>
                <w:bCs/>
                <w:i/>
                <w:color w:val="000000"/>
                <w:sz w:val="22"/>
                <w:szCs w:val="22"/>
              </w:rPr>
              <w:t>При прекращении Периода льготного кредитования, начиная с даты прекращения периода льготного кредитования (включительно), по дату полного погашения кредита, указанную в п. 6.1 Договора (включительно), Заемщик уплачивает Кредитору проценты за пользование кредитом в валюте кредита по плавающей Стандартной процентной ставке.</w:t>
            </w:r>
          </w:p>
          <w:p w:rsidR="0093367F" w:rsidRPr="0093367F" w:rsidRDefault="0093367F" w:rsidP="0093367F">
            <w:pPr>
              <w:autoSpaceDE w:val="0"/>
              <w:autoSpaceDN w:val="0"/>
              <w:adjustRightInd w:val="0"/>
              <w:jc w:val="both"/>
              <w:outlineLvl w:val="3"/>
              <w:rPr>
                <w:b/>
                <w:bCs/>
                <w:i/>
                <w:color w:val="000000"/>
                <w:sz w:val="22"/>
                <w:szCs w:val="22"/>
              </w:rPr>
            </w:pPr>
            <w:r w:rsidRPr="0093367F">
              <w:rPr>
                <w:b/>
                <w:bCs/>
                <w:i/>
                <w:color w:val="000000"/>
                <w:sz w:val="22"/>
                <w:szCs w:val="22"/>
              </w:rPr>
              <w:t>Размер плавающей стандартной процентной ставки устанавливается на указанных ниже условиях из размера действующей ключевой ставки Банка России (плавающая составляющая) по состоянию на первый календарный день календарного месяца, на который приходится дата прекращения периода льготного кредитования (включительно), плюс фиксированная стандартная маржа (по тексту Договора – «Фиксированная Стандартная маржа»), составляющая 3,3 (Три целых три десятых) процентов годовых.</w:t>
            </w:r>
          </w:p>
          <w:p w:rsidR="0093367F" w:rsidRPr="0093367F" w:rsidRDefault="0093367F" w:rsidP="0093367F">
            <w:pPr>
              <w:autoSpaceDE w:val="0"/>
              <w:autoSpaceDN w:val="0"/>
              <w:adjustRightInd w:val="0"/>
              <w:jc w:val="both"/>
              <w:outlineLvl w:val="3"/>
              <w:rPr>
                <w:b/>
                <w:bCs/>
                <w:i/>
                <w:color w:val="000000"/>
                <w:sz w:val="22"/>
                <w:szCs w:val="22"/>
              </w:rPr>
            </w:pPr>
            <w:r w:rsidRPr="0093367F">
              <w:rPr>
                <w:b/>
                <w:bCs/>
                <w:i/>
                <w:color w:val="000000"/>
                <w:sz w:val="22"/>
                <w:szCs w:val="22"/>
              </w:rPr>
              <w:t>При изменении ключевой ставки Банка России в течение срока действия Договора, размер плавающей стандартной процентной ставки по Договору изменяется со второго рабочего дня, следующего за датой начала применения нового размера ключевой ставки Банка России, исходя из размера действующей ключевой ставки Банка России на дату изменения плавающей стандартной процентной ставки по Договору плюс Фиксированная Стандартная маржа.</w:t>
            </w:r>
          </w:p>
          <w:p w:rsidR="0093367F" w:rsidRPr="0093367F" w:rsidRDefault="0093367F" w:rsidP="0093367F">
            <w:pPr>
              <w:autoSpaceDE w:val="0"/>
              <w:autoSpaceDN w:val="0"/>
              <w:adjustRightInd w:val="0"/>
              <w:jc w:val="both"/>
              <w:outlineLvl w:val="3"/>
              <w:rPr>
                <w:b/>
                <w:bCs/>
                <w:i/>
                <w:color w:val="000000"/>
                <w:sz w:val="22"/>
                <w:szCs w:val="22"/>
              </w:rPr>
            </w:pPr>
            <w:r w:rsidRPr="0093367F">
              <w:rPr>
                <w:b/>
                <w:bCs/>
                <w:i/>
                <w:color w:val="000000"/>
                <w:sz w:val="22"/>
                <w:szCs w:val="22"/>
              </w:rPr>
              <w:t>Размер ключевой ставки Банка России на дату изменения плавающей стандартной процентной ставки по Договору определяется в соответствии с официальной информацией Банка России, в том числе опубликованной на официальном сайте Банка России, по состоянию на указанную дату.</w:t>
            </w:r>
          </w:p>
          <w:p w:rsidR="0093367F" w:rsidRPr="0093367F" w:rsidRDefault="0093367F" w:rsidP="0093367F">
            <w:pPr>
              <w:autoSpaceDE w:val="0"/>
              <w:autoSpaceDN w:val="0"/>
              <w:adjustRightInd w:val="0"/>
              <w:jc w:val="both"/>
              <w:outlineLvl w:val="3"/>
              <w:rPr>
                <w:b/>
                <w:bCs/>
                <w:i/>
                <w:color w:val="000000"/>
                <w:sz w:val="22"/>
                <w:szCs w:val="22"/>
              </w:rPr>
            </w:pPr>
            <w:r w:rsidRPr="0093367F">
              <w:rPr>
                <w:b/>
                <w:bCs/>
                <w:i/>
                <w:color w:val="000000"/>
                <w:sz w:val="22"/>
                <w:szCs w:val="22"/>
              </w:rPr>
              <w:t>Изменение размера плавающей стандартной процентной ставки по Договору осуществляется без заключения дополнительного соглашения к Договору. Кредитор направляет Заемщику уведомление об изменении размера плавающей стандартной процентной ставки по Договору в срок не позднее первого рабочего дня, следующего за датой изменения плавающей стандартной процентной ставки по Договору. В случае, если Заемщик не получил указанного уведомления, размер плавающей стандартной процентной ставки по Договору самостоятельно рассчитывается Заемщиком в соответствии с настоящим пунктом Договора.</w:t>
            </w:r>
          </w:p>
          <w:p w:rsidR="0093367F" w:rsidRPr="0093367F" w:rsidRDefault="0093367F" w:rsidP="0093367F">
            <w:pPr>
              <w:autoSpaceDE w:val="0"/>
              <w:autoSpaceDN w:val="0"/>
              <w:adjustRightInd w:val="0"/>
              <w:jc w:val="both"/>
              <w:outlineLvl w:val="3"/>
              <w:rPr>
                <w:b/>
                <w:bCs/>
                <w:i/>
                <w:color w:val="000000"/>
                <w:sz w:val="22"/>
                <w:szCs w:val="22"/>
              </w:rPr>
            </w:pPr>
            <w:r w:rsidRPr="0093367F">
              <w:rPr>
                <w:b/>
                <w:bCs/>
                <w:i/>
                <w:color w:val="000000"/>
                <w:sz w:val="22"/>
                <w:szCs w:val="22"/>
              </w:rPr>
              <w:t>Срок поручительства: по 20 марта 2028 г. включительно.</w:t>
            </w:r>
          </w:p>
          <w:p w:rsidR="0093367F" w:rsidRPr="0093367F" w:rsidRDefault="0093367F" w:rsidP="0093367F">
            <w:pPr>
              <w:autoSpaceDE w:val="0"/>
              <w:autoSpaceDN w:val="0"/>
              <w:adjustRightInd w:val="0"/>
              <w:jc w:val="both"/>
              <w:outlineLvl w:val="3"/>
              <w:rPr>
                <w:b/>
                <w:bCs/>
                <w:i/>
                <w:color w:val="000000"/>
                <w:sz w:val="22"/>
                <w:szCs w:val="22"/>
              </w:rPr>
            </w:pPr>
            <w:r w:rsidRPr="0093367F">
              <w:rPr>
                <w:b/>
                <w:bCs/>
                <w:i/>
                <w:color w:val="000000"/>
                <w:sz w:val="22"/>
                <w:szCs w:val="22"/>
              </w:rPr>
              <w:t>Заинтересованные лица: Генеральный директор Калинин Алексей Александрович, члены Совета директоров: Калинин Алексей Александрович, Котельников Константин Юрьевич, Лаунер Геннадий Альфредович, Гафитулин Михаил Юрьевич, Ященко Александр Вячеславович. Основание заинтересованности: Генеральный директор Калинин Алексей Александрович и члены Совета директоров ПАО «Наука-Связь» занимают должности в органах управления Выгодоприобретателя по сделке. Выгодоприобретателем по сделке является Должник ООО «Наука-Связь».</w:t>
            </w:r>
          </w:p>
          <w:p w:rsidR="0093367F" w:rsidRPr="0093367F" w:rsidRDefault="0093367F" w:rsidP="0093367F">
            <w:pPr>
              <w:autoSpaceDE w:val="0"/>
              <w:autoSpaceDN w:val="0"/>
              <w:adjustRightInd w:val="0"/>
              <w:jc w:val="both"/>
              <w:outlineLvl w:val="3"/>
              <w:rPr>
                <w:b/>
                <w:bCs/>
                <w:i/>
                <w:color w:val="000000"/>
                <w:sz w:val="22"/>
                <w:szCs w:val="22"/>
              </w:rPr>
            </w:pPr>
            <w:r w:rsidRPr="0093367F">
              <w:rPr>
                <w:b/>
                <w:bCs/>
                <w:i/>
                <w:color w:val="000000"/>
                <w:sz w:val="22"/>
                <w:szCs w:val="22"/>
              </w:rPr>
              <w:t>Иные условия договора поручительства определяются Генеральным директором по своему усмотрению.</w:t>
            </w:r>
          </w:p>
          <w:p w:rsidR="00FD3CC8" w:rsidRPr="00FD3CC8" w:rsidRDefault="0093367F" w:rsidP="0093367F">
            <w:pPr>
              <w:autoSpaceDE w:val="0"/>
              <w:autoSpaceDN w:val="0"/>
              <w:adjustRightInd w:val="0"/>
              <w:jc w:val="both"/>
              <w:outlineLvl w:val="3"/>
              <w:rPr>
                <w:bCs/>
                <w:color w:val="000000"/>
                <w:sz w:val="22"/>
                <w:szCs w:val="22"/>
              </w:rPr>
            </w:pPr>
            <w:r w:rsidRPr="0093367F">
              <w:rPr>
                <w:b/>
                <w:bCs/>
                <w:i/>
                <w:color w:val="000000"/>
                <w:sz w:val="22"/>
                <w:szCs w:val="22"/>
              </w:rPr>
              <w:t>2. Предоставить Генеральному директору ПАО «Наука-Связь» Калинину Алексею Александровичу полномочия на заключение от имени Общества соответствующей сделки в целях исполнения настоящего решения</w:t>
            </w:r>
            <w:r w:rsidRPr="0093367F">
              <w:rPr>
                <w:bCs/>
                <w:color w:val="000000"/>
                <w:sz w:val="22"/>
                <w:szCs w:val="22"/>
              </w:rPr>
              <w:t>.</w:t>
            </w:r>
            <w:bookmarkEnd w:id="6"/>
            <w:bookmarkEnd w:id="7"/>
          </w:p>
          <w:p w:rsidR="00720EAE" w:rsidRPr="00FD3CC8" w:rsidRDefault="00720EAE" w:rsidP="007F7DF6">
            <w:pPr>
              <w:autoSpaceDE w:val="0"/>
              <w:autoSpaceDN w:val="0"/>
              <w:adjustRightInd w:val="0"/>
              <w:jc w:val="both"/>
              <w:outlineLvl w:val="3"/>
              <w:rPr>
                <w:b/>
                <w:bCs/>
                <w:i/>
                <w:color w:val="000000"/>
                <w:sz w:val="22"/>
                <w:szCs w:val="22"/>
              </w:rPr>
            </w:pPr>
            <w:r w:rsidRPr="00FD3CC8">
              <w:rPr>
                <w:bCs/>
                <w:color w:val="000000"/>
                <w:sz w:val="22"/>
                <w:szCs w:val="22"/>
              </w:rPr>
              <w:t>2.8. Дата составления и номер Протокола Общего собрания акционеров ПАО «Наука-Связь»:</w:t>
            </w:r>
            <w:r w:rsidR="00AC7981" w:rsidRPr="00FD3CC8">
              <w:rPr>
                <w:b/>
                <w:bCs/>
                <w:i/>
                <w:color w:val="000000"/>
                <w:sz w:val="22"/>
                <w:szCs w:val="22"/>
              </w:rPr>
              <w:t xml:space="preserve"> </w:t>
            </w:r>
            <w:r w:rsidR="00FD3CC8" w:rsidRPr="00FD3CC8">
              <w:rPr>
                <w:b/>
                <w:bCs/>
                <w:i/>
                <w:color w:val="000000"/>
                <w:sz w:val="22"/>
                <w:szCs w:val="22"/>
              </w:rPr>
              <w:t>20</w:t>
            </w:r>
            <w:r w:rsidR="00286573" w:rsidRPr="00FD3CC8">
              <w:rPr>
                <w:b/>
                <w:bCs/>
                <w:i/>
                <w:color w:val="000000"/>
                <w:sz w:val="22"/>
                <w:szCs w:val="22"/>
              </w:rPr>
              <w:t>.</w:t>
            </w:r>
            <w:r w:rsidR="000441EA" w:rsidRPr="00FD3CC8">
              <w:rPr>
                <w:b/>
                <w:bCs/>
                <w:i/>
                <w:color w:val="000000"/>
                <w:sz w:val="22"/>
                <w:szCs w:val="22"/>
              </w:rPr>
              <w:t>0</w:t>
            </w:r>
            <w:r w:rsidR="00FD3CC8" w:rsidRPr="00FD3CC8">
              <w:rPr>
                <w:b/>
                <w:bCs/>
                <w:i/>
                <w:color w:val="000000"/>
                <w:sz w:val="22"/>
                <w:szCs w:val="22"/>
              </w:rPr>
              <w:t>5</w:t>
            </w:r>
            <w:r w:rsidR="00A6044C" w:rsidRPr="00FD3CC8">
              <w:rPr>
                <w:b/>
                <w:bCs/>
                <w:i/>
                <w:color w:val="000000"/>
                <w:sz w:val="22"/>
                <w:szCs w:val="22"/>
              </w:rPr>
              <w:t>.</w:t>
            </w:r>
            <w:r w:rsidR="00FA0488" w:rsidRPr="00FD3CC8">
              <w:rPr>
                <w:b/>
                <w:bCs/>
                <w:i/>
                <w:color w:val="000000"/>
                <w:sz w:val="22"/>
                <w:szCs w:val="22"/>
              </w:rPr>
              <w:t>202</w:t>
            </w:r>
            <w:r w:rsidR="000441EA" w:rsidRPr="00FD3CC8">
              <w:rPr>
                <w:b/>
                <w:bCs/>
                <w:i/>
                <w:color w:val="000000"/>
                <w:sz w:val="22"/>
                <w:szCs w:val="22"/>
              </w:rPr>
              <w:t>4</w:t>
            </w:r>
            <w:r w:rsidR="00B06DB5" w:rsidRPr="00FD3CC8">
              <w:rPr>
                <w:b/>
                <w:bCs/>
                <w:i/>
                <w:color w:val="000000"/>
                <w:sz w:val="22"/>
                <w:szCs w:val="22"/>
              </w:rPr>
              <w:t xml:space="preserve"> г., </w:t>
            </w:r>
            <w:r w:rsidR="00286573" w:rsidRPr="00FD3CC8">
              <w:rPr>
                <w:b/>
                <w:bCs/>
                <w:i/>
                <w:color w:val="000000"/>
                <w:sz w:val="22"/>
                <w:szCs w:val="22"/>
              </w:rPr>
              <w:t>Протокол №</w:t>
            </w:r>
            <w:r w:rsidR="003606F3" w:rsidRPr="00FD3CC8">
              <w:rPr>
                <w:b/>
                <w:bCs/>
                <w:i/>
                <w:color w:val="000000"/>
                <w:sz w:val="22"/>
                <w:szCs w:val="22"/>
              </w:rPr>
              <w:t>0</w:t>
            </w:r>
            <w:r w:rsidR="00FD3CC8" w:rsidRPr="00FD3CC8">
              <w:rPr>
                <w:b/>
                <w:bCs/>
                <w:i/>
                <w:color w:val="000000"/>
                <w:sz w:val="22"/>
                <w:szCs w:val="22"/>
              </w:rPr>
              <w:t>3</w:t>
            </w:r>
            <w:r w:rsidR="00FA0488" w:rsidRPr="00FD3CC8">
              <w:rPr>
                <w:b/>
                <w:bCs/>
                <w:i/>
                <w:color w:val="000000"/>
                <w:sz w:val="22"/>
                <w:szCs w:val="22"/>
              </w:rPr>
              <w:t>/2</w:t>
            </w:r>
            <w:r w:rsidR="000441EA" w:rsidRPr="00FD3CC8">
              <w:rPr>
                <w:b/>
                <w:bCs/>
                <w:i/>
                <w:color w:val="000000"/>
                <w:sz w:val="22"/>
                <w:szCs w:val="22"/>
              </w:rPr>
              <w:t>4</w:t>
            </w:r>
            <w:r w:rsidRPr="00FD3CC8">
              <w:rPr>
                <w:b/>
                <w:bCs/>
                <w:i/>
                <w:color w:val="000000"/>
                <w:sz w:val="22"/>
                <w:szCs w:val="22"/>
              </w:rPr>
              <w:t>.</w:t>
            </w:r>
          </w:p>
          <w:p w:rsidR="008A54C2" w:rsidRPr="00FD3CC8" w:rsidRDefault="00720EAE" w:rsidP="00750F60">
            <w:pPr>
              <w:autoSpaceDE w:val="0"/>
              <w:autoSpaceDN w:val="0"/>
              <w:adjustRightInd w:val="0"/>
              <w:jc w:val="both"/>
              <w:outlineLvl w:val="3"/>
              <w:rPr>
                <w:bCs/>
                <w:color w:val="000000"/>
                <w:sz w:val="22"/>
                <w:szCs w:val="22"/>
              </w:rPr>
            </w:pPr>
            <w:r w:rsidRPr="00FD3CC8">
              <w:rPr>
                <w:bCs/>
                <w:color w:val="000000"/>
                <w:sz w:val="22"/>
                <w:szCs w:val="22"/>
              </w:rPr>
              <w:t>2.9.</w:t>
            </w:r>
            <w:r w:rsidRPr="00FD3CC8">
              <w:rPr>
                <w:sz w:val="22"/>
                <w:szCs w:val="22"/>
              </w:rPr>
              <w:t xml:space="preserve"> </w:t>
            </w:r>
            <w:r w:rsidR="005D4957" w:rsidRPr="00FD3CC8">
              <w:rPr>
                <w:bCs/>
                <w:color w:val="000000"/>
                <w:sz w:val="22"/>
                <w:szCs w:val="22"/>
              </w:rPr>
              <w:t xml:space="preserve">Идентификационные признаки ценных бумаг (акций, владельцы которых имеют право на участие в общем собрании акционеров эмитента): </w:t>
            </w:r>
            <w:r w:rsidR="003606F3" w:rsidRPr="00FD3CC8">
              <w:rPr>
                <w:b/>
                <w:bCs/>
                <w:i/>
                <w:color w:val="000000"/>
                <w:sz w:val="22"/>
                <w:szCs w:val="22"/>
              </w:rPr>
              <w:t xml:space="preserve">акции обыкновенные, государственный регистрационный номер выпуска ценных бумаг – </w:t>
            </w:r>
            <w:r w:rsidR="003606F3" w:rsidRPr="00FD3CC8">
              <w:rPr>
                <w:b/>
                <w:bCs/>
                <w:i/>
                <w:iCs/>
                <w:color w:val="000000"/>
                <w:sz w:val="22"/>
                <w:szCs w:val="22"/>
              </w:rPr>
              <w:t xml:space="preserve">-1-01-12689-А от </w:t>
            </w:r>
            <w:proofErr w:type="gramStart"/>
            <w:r w:rsidR="003606F3" w:rsidRPr="00FD3CC8">
              <w:rPr>
                <w:b/>
                <w:bCs/>
                <w:i/>
                <w:iCs/>
                <w:color w:val="000000"/>
                <w:sz w:val="22"/>
                <w:szCs w:val="22"/>
              </w:rPr>
              <w:t>19.12.2007;,</w:t>
            </w:r>
            <w:proofErr w:type="gramEnd"/>
            <w:r w:rsidR="003606F3" w:rsidRPr="00FD3CC8">
              <w:rPr>
                <w:b/>
                <w:bCs/>
                <w:i/>
                <w:iCs/>
                <w:color w:val="000000"/>
                <w:sz w:val="22"/>
                <w:szCs w:val="22"/>
              </w:rPr>
              <w:t xml:space="preserve"> </w:t>
            </w:r>
            <w:r w:rsidR="003606F3" w:rsidRPr="00FD3CC8">
              <w:rPr>
                <w:b/>
                <w:bCs/>
                <w:i/>
                <w:color w:val="000000"/>
                <w:sz w:val="22"/>
                <w:szCs w:val="22"/>
              </w:rPr>
              <w:t>ISIN– RU000A0JQLB6, CFI – ESVXFR.</w:t>
            </w:r>
          </w:p>
        </w:tc>
      </w:tr>
      <w:tr w:rsidR="008A54C2" w:rsidRPr="00FD3CC8" w:rsidTr="00AE4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9" w:type="dxa"/>
          <w:trHeight w:val="180"/>
        </w:trPr>
        <w:tc>
          <w:tcPr>
            <w:tcW w:w="10774" w:type="dxa"/>
            <w:gridSpan w:val="3"/>
            <w:shd w:val="clear" w:color="auto" w:fill="auto"/>
          </w:tcPr>
          <w:p w:rsidR="008A54C2" w:rsidRPr="00FD3CC8" w:rsidRDefault="008A54C2" w:rsidP="008A54C2">
            <w:pPr>
              <w:autoSpaceDE w:val="0"/>
              <w:jc w:val="center"/>
              <w:rPr>
                <w:rFonts w:eastAsia="Times New Roman CYR"/>
                <w:b/>
                <w:bCs/>
                <w:color w:val="000000"/>
                <w:sz w:val="22"/>
                <w:szCs w:val="22"/>
              </w:rPr>
            </w:pPr>
            <w:r w:rsidRPr="00FD3CC8">
              <w:rPr>
                <w:rFonts w:eastAsia="Times New Roman CYR"/>
                <w:b/>
                <w:bCs/>
                <w:color w:val="000000"/>
                <w:sz w:val="22"/>
                <w:szCs w:val="22"/>
              </w:rPr>
              <w:lastRenderedPageBreak/>
              <w:t>3. Подпись</w:t>
            </w:r>
          </w:p>
        </w:tc>
      </w:tr>
      <w:tr w:rsidR="008A54C2" w:rsidRPr="00FD3CC8" w:rsidTr="00AE4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9" w:type="dxa"/>
          <w:trHeight w:val="1332"/>
        </w:trPr>
        <w:tc>
          <w:tcPr>
            <w:tcW w:w="10774" w:type="dxa"/>
            <w:gridSpan w:val="3"/>
            <w:shd w:val="clear" w:color="auto" w:fill="auto"/>
          </w:tcPr>
          <w:p w:rsidR="00720EAE" w:rsidRPr="00FD3CC8" w:rsidRDefault="00720EAE" w:rsidP="00720EAE">
            <w:pPr>
              <w:autoSpaceDE w:val="0"/>
              <w:jc w:val="both"/>
              <w:rPr>
                <w:rFonts w:eastAsia="Times New Roman CYR"/>
                <w:color w:val="000000"/>
                <w:sz w:val="22"/>
                <w:szCs w:val="22"/>
              </w:rPr>
            </w:pPr>
            <w:r w:rsidRPr="00FD3CC8">
              <w:rPr>
                <w:rFonts w:eastAsia="Times New Roman CYR"/>
                <w:color w:val="000000"/>
                <w:sz w:val="22"/>
                <w:szCs w:val="22"/>
              </w:rPr>
              <w:t xml:space="preserve">3.1. Генеральный директор </w:t>
            </w:r>
          </w:p>
          <w:p w:rsidR="00720EAE" w:rsidRPr="00FD3CC8" w:rsidRDefault="00720EAE" w:rsidP="00720EAE">
            <w:pPr>
              <w:autoSpaceDE w:val="0"/>
              <w:jc w:val="both"/>
              <w:rPr>
                <w:rFonts w:eastAsia="Times New Roman CYR"/>
                <w:color w:val="000000"/>
                <w:sz w:val="22"/>
                <w:szCs w:val="22"/>
              </w:rPr>
            </w:pPr>
            <w:r w:rsidRPr="00FD3CC8">
              <w:rPr>
                <w:rFonts w:eastAsia="Times New Roman CYR"/>
                <w:color w:val="000000"/>
                <w:sz w:val="22"/>
                <w:szCs w:val="22"/>
              </w:rPr>
              <w:t>Публичного акционерного Общества</w:t>
            </w:r>
          </w:p>
          <w:p w:rsidR="00720EAE" w:rsidRPr="00FD3CC8" w:rsidRDefault="00720EAE" w:rsidP="00720EAE">
            <w:pPr>
              <w:autoSpaceDE w:val="0"/>
              <w:jc w:val="both"/>
              <w:rPr>
                <w:rFonts w:eastAsia="Times New Roman CYR"/>
                <w:color w:val="000000"/>
                <w:sz w:val="22"/>
                <w:szCs w:val="22"/>
              </w:rPr>
            </w:pPr>
            <w:r w:rsidRPr="00FD3CC8">
              <w:rPr>
                <w:rFonts w:eastAsia="Times New Roman CYR"/>
                <w:color w:val="000000"/>
                <w:sz w:val="22"/>
                <w:szCs w:val="22"/>
              </w:rPr>
              <w:t>«Наука-</w:t>
            </w:r>
            <w:proofErr w:type="gramStart"/>
            <w:r w:rsidRPr="00FD3CC8">
              <w:rPr>
                <w:rFonts w:eastAsia="Times New Roman CYR"/>
                <w:color w:val="000000"/>
                <w:sz w:val="22"/>
                <w:szCs w:val="22"/>
              </w:rPr>
              <w:t xml:space="preserve">Связь»   </w:t>
            </w:r>
            <w:proofErr w:type="gramEnd"/>
            <w:r w:rsidRPr="00FD3CC8">
              <w:rPr>
                <w:rFonts w:eastAsia="Times New Roman CYR"/>
                <w:color w:val="000000"/>
                <w:sz w:val="22"/>
                <w:szCs w:val="22"/>
              </w:rPr>
              <w:t xml:space="preserve">                                                                         ______________          </w:t>
            </w:r>
            <w:proofErr w:type="spellStart"/>
            <w:r w:rsidR="00B422EA" w:rsidRPr="00FD3CC8">
              <w:rPr>
                <w:rFonts w:eastAsia="Times New Roman CYR"/>
                <w:color w:val="000000"/>
                <w:sz w:val="22"/>
                <w:szCs w:val="22"/>
              </w:rPr>
              <w:t>А.А.Калинин</w:t>
            </w:r>
            <w:proofErr w:type="spellEnd"/>
          </w:p>
          <w:p w:rsidR="00720EAE" w:rsidRPr="00FD3CC8" w:rsidRDefault="00720EAE" w:rsidP="00720EAE">
            <w:pPr>
              <w:autoSpaceDE w:val="0"/>
              <w:ind w:firstLine="709"/>
              <w:jc w:val="both"/>
              <w:rPr>
                <w:rFonts w:eastAsia="Courier New CYR"/>
                <w:color w:val="000000"/>
                <w:sz w:val="22"/>
                <w:szCs w:val="22"/>
              </w:rPr>
            </w:pPr>
          </w:p>
          <w:p w:rsidR="00720EAE" w:rsidRPr="00FD3CC8" w:rsidRDefault="00720EAE" w:rsidP="00720EAE">
            <w:pPr>
              <w:autoSpaceDE w:val="0"/>
              <w:jc w:val="both"/>
              <w:rPr>
                <w:rFonts w:eastAsia="Times New Roman CYR"/>
                <w:color w:val="000000"/>
                <w:sz w:val="22"/>
                <w:szCs w:val="22"/>
              </w:rPr>
            </w:pPr>
            <w:r w:rsidRPr="00FD3CC8">
              <w:rPr>
                <w:rFonts w:eastAsia="Times New Roman CYR"/>
                <w:color w:val="000000"/>
                <w:sz w:val="22"/>
                <w:szCs w:val="22"/>
              </w:rPr>
              <w:t>3.2. «</w:t>
            </w:r>
            <w:r w:rsidR="00FD3CC8" w:rsidRPr="00FD3CC8">
              <w:rPr>
                <w:rFonts w:eastAsia="Times New Roman CYR"/>
                <w:color w:val="000000"/>
                <w:sz w:val="22"/>
                <w:szCs w:val="22"/>
                <w:lang w:val="en-US"/>
              </w:rPr>
              <w:t>20</w:t>
            </w:r>
            <w:r w:rsidRPr="00FD3CC8">
              <w:rPr>
                <w:rFonts w:eastAsia="Times New Roman CYR"/>
                <w:color w:val="000000"/>
                <w:sz w:val="22"/>
                <w:szCs w:val="22"/>
              </w:rPr>
              <w:t xml:space="preserve">» </w:t>
            </w:r>
            <w:r w:rsidR="00FD3CC8" w:rsidRPr="00FD3CC8">
              <w:rPr>
                <w:rFonts w:eastAsia="Times New Roman CYR"/>
                <w:color w:val="000000"/>
                <w:sz w:val="22"/>
                <w:szCs w:val="22"/>
              </w:rPr>
              <w:t xml:space="preserve">мая </w:t>
            </w:r>
            <w:r w:rsidR="00FA0488" w:rsidRPr="00FD3CC8">
              <w:rPr>
                <w:rFonts w:eastAsia="Times New Roman CYR"/>
                <w:color w:val="000000"/>
                <w:sz w:val="22"/>
                <w:szCs w:val="22"/>
              </w:rPr>
              <w:t>202</w:t>
            </w:r>
            <w:r w:rsidR="000441EA" w:rsidRPr="00FD3CC8">
              <w:rPr>
                <w:rFonts w:eastAsia="Times New Roman CYR"/>
                <w:color w:val="000000"/>
                <w:sz w:val="22"/>
                <w:szCs w:val="22"/>
              </w:rPr>
              <w:t>4</w:t>
            </w:r>
            <w:r w:rsidRPr="00FD3CC8">
              <w:rPr>
                <w:rFonts w:eastAsia="Times New Roman CYR"/>
                <w:color w:val="000000"/>
                <w:sz w:val="22"/>
                <w:szCs w:val="22"/>
              </w:rPr>
              <w:t xml:space="preserve"> г.                                                                        М.П.</w:t>
            </w:r>
          </w:p>
          <w:p w:rsidR="008A54C2" w:rsidRPr="00FD3CC8" w:rsidRDefault="008A54C2" w:rsidP="00720EAE">
            <w:pPr>
              <w:autoSpaceDE w:val="0"/>
              <w:jc w:val="both"/>
              <w:rPr>
                <w:rFonts w:eastAsia="Courier New CYR"/>
                <w:color w:val="000000"/>
                <w:sz w:val="22"/>
                <w:szCs w:val="22"/>
              </w:rPr>
            </w:pPr>
          </w:p>
        </w:tc>
      </w:tr>
      <w:bookmarkEnd w:id="0"/>
      <w:bookmarkEnd w:id="1"/>
      <w:bookmarkEnd w:id="2"/>
      <w:bookmarkEnd w:id="3"/>
      <w:bookmarkEnd w:id="4"/>
    </w:tbl>
    <w:p w:rsidR="002B5C71" w:rsidRPr="00FD3CC8" w:rsidRDefault="002B5C71">
      <w:pPr>
        <w:autoSpaceDE w:val="0"/>
        <w:rPr>
          <w:rFonts w:eastAsia="Courier New CYR"/>
          <w:color w:val="000000"/>
          <w:sz w:val="22"/>
          <w:szCs w:val="22"/>
        </w:rPr>
      </w:pPr>
    </w:p>
    <w:sectPr w:rsidR="002B5C71" w:rsidRPr="00FD3CC8">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72916"/>
    <w:multiLevelType w:val="hybridMultilevel"/>
    <w:tmpl w:val="09A687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B4A1940"/>
    <w:multiLevelType w:val="hybridMultilevel"/>
    <w:tmpl w:val="F5FC4D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D134E8"/>
    <w:multiLevelType w:val="hybridMultilevel"/>
    <w:tmpl w:val="7D1ABF6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7A52EB3"/>
    <w:multiLevelType w:val="hybridMultilevel"/>
    <w:tmpl w:val="9162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F346E8"/>
    <w:multiLevelType w:val="multilevel"/>
    <w:tmpl w:val="56B24D96"/>
    <w:lvl w:ilvl="0">
      <w:start w:val="1"/>
      <w:numFmt w:val="decimal"/>
      <w:lvlText w:val="%1."/>
      <w:lvlJc w:val="left"/>
      <w:pPr>
        <w:ind w:left="244" w:hanging="670"/>
      </w:pPr>
      <w:rPr>
        <w:rFonts w:ascii="Times New Roman" w:eastAsia="Times New Roman" w:hAnsi="Times New Roman" w:cs="Times New Roman"/>
      </w:rPr>
    </w:lvl>
    <w:lvl w:ilvl="1">
      <w:start w:val="1"/>
      <w:numFmt w:val="decimal"/>
      <w:isLgl/>
      <w:lvlText w:val="%1.%2."/>
      <w:lvlJc w:val="left"/>
      <w:pPr>
        <w:ind w:left="2160" w:hanging="720"/>
      </w:pPr>
    </w:lvl>
    <w:lvl w:ilvl="2">
      <w:start w:val="1"/>
      <w:numFmt w:val="decimal"/>
      <w:isLgl/>
      <w:lvlText w:val="%1.%2.%3."/>
      <w:lvlJc w:val="left"/>
      <w:pPr>
        <w:ind w:left="4026" w:hanging="720"/>
      </w:pPr>
    </w:lvl>
    <w:lvl w:ilvl="3">
      <w:start w:val="1"/>
      <w:numFmt w:val="decimal"/>
      <w:isLgl/>
      <w:lvlText w:val="%1.%2.%3.%4."/>
      <w:lvlJc w:val="left"/>
      <w:pPr>
        <w:ind w:left="6252" w:hanging="1080"/>
      </w:pPr>
    </w:lvl>
    <w:lvl w:ilvl="4">
      <w:start w:val="1"/>
      <w:numFmt w:val="decimal"/>
      <w:isLgl/>
      <w:lvlText w:val="%1.%2.%3.%4.%5."/>
      <w:lvlJc w:val="left"/>
      <w:pPr>
        <w:ind w:left="8118" w:hanging="1080"/>
      </w:pPr>
    </w:lvl>
    <w:lvl w:ilvl="5">
      <w:start w:val="1"/>
      <w:numFmt w:val="decimal"/>
      <w:isLgl/>
      <w:lvlText w:val="%1.%2.%3.%4.%5.%6."/>
      <w:lvlJc w:val="left"/>
      <w:pPr>
        <w:ind w:left="10344" w:hanging="1440"/>
      </w:pPr>
    </w:lvl>
    <w:lvl w:ilvl="6">
      <w:start w:val="1"/>
      <w:numFmt w:val="decimal"/>
      <w:isLgl/>
      <w:lvlText w:val="%1.%2.%3.%4.%5.%6.%7."/>
      <w:lvlJc w:val="left"/>
      <w:pPr>
        <w:ind w:left="12210" w:hanging="1440"/>
      </w:pPr>
    </w:lvl>
    <w:lvl w:ilvl="7">
      <w:start w:val="1"/>
      <w:numFmt w:val="decimal"/>
      <w:isLgl/>
      <w:lvlText w:val="%1.%2.%3.%4.%5.%6.%7.%8."/>
      <w:lvlJc w:val="left"/>
      <w:pPr>
        <w:ind w:left="14436" w:hanging="1800"/>
      </w:pPr>
    </w:lvl>
    <w:lvl w:ilvl="8">
      <w:start w:val="1"/>
      <w:numFmt w:val="decimal"/>
      <w:isLgl/>
      <w:lvlText w:val="%1.%2.%3.%4.%5.%6.%7.%8.%9."/>
      <w:lvlJc w:val="left"/>
      <w:pPr>
        <w:ind w:left="16662" w:hanging="2160"/>
      </w:pPr>
    </w:lvl>
  </w:abstractNum>
  <w:abstractNum w:abstractNumId="5" w15:restartNumberingAfterBreak="0">
    <w:nsid w:val="4B1E1062"/>
    <w:multiLevelType w:val="hybridMultilevel"/>
    <w:tmpl w:val="785E1EFE"/>
    <w:lvl w:ilvl="0" w:tplc="2A4E6F76">
      <w:numFmt w:val="bullet"/>
      <w:lvlText w:val="-"/>
      <w:lvlJc w:val="left"/>
      <w:pPr>
        <w:tabs>
          <w:tab w:val="num" w:pos="501"/>
        </w:tabs>
        <w:ind w:left="501" w:hanging="360"/>
      </w:pPr>
      <w:rPr>
        <w:rFonts w:ascii="Times New Roman" w:eastAsia="Times New Roman" w:hAnsi="Times New Roman" w:hint="default"/>
        <w:b/>
      </w:rPr>
    </w:lvl>
    <w:lvl w:ilvl="1" w:tplc="04190003">
      <w:start w:val="1"/>
      <w:numFmt w:val="bullet"/>
      <w:lvlText w:val="o"/>
      <w:lvlJc w:val="left"/>
      <w:pPr>
        <w:tabs>
          <w:tab w:val="num" w:pos="1297"/>
        </w:tabs>
        <w:ind w:left="1297" w:hanging="360"/>
      </w:pPr>
      <w:rPr>
        <w:rFonts w:ascii="Courier New" w:hAnsi="Courier New" w:hint="default"/>
      </w:rPr>
    </w:lvl>
    <w:lvl w:ilvl="2" w:tplc="04190005">
      <w:start w:val="1"/>
      <w:numFmt w:val="bullet"/>
      <w:lvlText w:val=""/>
      <w:lvlJc w:val="left"/>
      <w:pPr>
        <w:tabs>
          <w:tab w:val="num" w:pos="2017"/>
        </w:tabs>
        <w:ind w:left="2017" w:hanging="360"/>
      </w:pPr>
      <w:rPr>
        <w:rFonts w:ascii="Wingdings" w:hAnsi="Wingdings" w:hint="default"/>
      </w:rPr>
    </w:lvl>
    <w:lvl w:ilvl="3" w:tplc="04190001">
      <w:start w:val="1"/>
      <w:numFmt w:val="bullet"/>
      <w:lvlText w:val=""/>
      <w:lvlJc w:val="left"/>
      <w:pPr>
        <w:tabs>
          <w:tab w:val="num" w:pos="2737"/>
        </w:tabs>
        <w:ind w:left="2737" w:hanging="360"/>
      </w:pPr>
      <w:rPr>
        <w:rFonts w:ascii="Symbol" w:hAnsi="Symbol" w:hint="default"/>
      </w:rPr>
    </w:lvl>
    <w:lvl w:ilvl="4" w:tplc="04190003">
      <w:start w:val="1"/>
      <w:numFmt w:val="bullet"/>
      <w:lvlText w:val="o"/>
      <w:lvlJc w:val="left"/>
      <w:pPr>
        <w:tabs>
          <w:tab w:val="num" w:pos="3457"/>
        </w:tabs>
        <w:ind w:left="3457" w:hanging="360"/>
      </w:pPr>
      <w:rPr>
        <w:rFonts w:ascii="Courier New" w:hAnsi="Courier New" w:hint="default"/>
      </w:rPr>
    </w:lvl>
    <w:lvl w:ilvl="5" w:tplc="04190005">
      <w:start w:val="1"/>
      <w:numFmt w:val="bullet"/>
      <w:lvlText w:val=""/>
      <w:lvlJc w:val="left"/>
      <w:pPr>
        <w:tabs>
          <w:tab w:val="num" w:pos="4177"/>
        </w:tabs>
        <w:ind w:left="4177" w:hanging="360"/>
      </w:pPr>
      <w:rPr>
        <w:rFonts w:ascii="Wingdings" w:hAnsi="Wingdings" w:hint="default"/>
      </w:rPr>
    </w:lvl>
    <w:lvl w:ilvl="6" w:tplc="04190001">
      <w:start w:val="1"/>
      <w:numFmt w:val="bullet"/>
      <w:lvlText w:val=""/>
      <w:lvlJc w:val="left"/>
      <w:pPr>
        <w:tabs>
          <w:tab w:val="num" w:pos="4897"/>
        </w:tabs>
        <w:ind w:left="4897" w:hanging="360"/>
      </w:pPr>
      <w:rPr>
        <w:rFonts w:ascii="Symbol" w:hAnsi="Symbol" w:hint="default"/>
      </w:rPr>
    </w:lvl>
    <w:lvl w:ilvl="7" w:tplc="04190003">
      <w:start w:val="1"/>
      <w:numFmt w:val="bullet"/>
      <w:lvlText w:val="o"/>
      <w:lvlJc w:val="left"/>
      <w:pPr>
        <w:tabs>
          <w:tab w:val="num" w:pos="5617"/>
        </w:tabs>
        <w:ind w:left="5617" w:hanging="360"/>
      </w:pPr>
      <w:rPr>
        <w:rFonts w:ascii="Courier New" w:hAnsi="Courier New" w:hint="default"/>
      </w:rPr>
    </w:lvl>
    <w:lvl w:ilvl="8" w:tplc="04190005">
      <w:start w:val="1"/>
      <w:numFmt w:val="bullet"/>
      <w:lvlText w:val=""/>
      <w:lvlJc w:val="left"/>
      <w:pPr>
        <w:tabs>
          <w:tab w:val="num" w:pos="6337"/>
        </w:tabs>
        <w:ind w:left="6337" w:hanging="360"/>
      </w:pPr>
      <w:rPr>
        <w:rFonts w:ascii="Wingdings" w:hAnsi="Wingdings" w:hint="default"/>
      </w:rPr>
    </w:lvl>
  </w:abstractNum>
  <w:abstractNum w:abstractNumId="6" w15:restartNumberingAfterBreak="0">
    <w:nsid w:val="4BC74E12"/>
    <w:multiLevelType w:val="hybridMultilevel"/>
    <w:tmpl w:val="CD720F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D83276D"/>
    <w:multiLevelType w:val="hybridMultilevel"/>
    <w:tmpl w:val="80047C26"/>
    <w:lvl w:ilvl="0" w:tplc="0419000F">
      <w:start w:val="1"/>
      <w:numFmt w:val="decimal"/>
      <w:lvlText w:val="%1."/>
      <w:lvlJc w:val="left"/>
      <w:pPr>
        <w:tabs>
          <w:tab w:val="num" w:pos="720"/>
        </w:tabs>
        <w:ind w:left="720" w:hanging="360"/>
      </w:pPr>
      <w:rPr>
        <w:rFonts w:hint="default"/>
      </w:rPr>
    </w:lvl>
    <w:lvl w:ilvl="1" w:tplc="2958925E">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64085A32"/>
    <w:multiLevelType w:val="hybridMultilevel"/>
    <w:tmpl w:val="C90AF75C"/>
    <w:lvl w:ilvl="0" w:tplc="2250AC26">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E6273"/>
    <w:multiLevelType w:val="hybridMultilevel"/>
    <w:tmpl w:val="02FCD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FC11FB7"/>
    <w:multiLevelType w:val="multilevel"/>
    <w:tmpl w:val="56B24D96"/>
    <w:lvl w:ilvl="0">
      <w:start w:val="1"/>
      <w:numFmt w:val="decimal"/>
      <w:lvlText w:val="%1."/>
      <w:lvlJc w:val="left"/>
      <w:pPr>
        <w:ind w:left="244" w:hanging="670"/>
      </w:pPr>
      <w:rPr>
        <w:rFonts w:ascii="Times New Roman" w:eastAsia="Times New Roman" w:hAnsi="Times New Roman" w:cs="Times New Roman"/>
      </w:rPr>
    </w:lvl>
    <w:lvl w:ilvl="1">
      <w:start w:val="1"/>
      <w:numFmt w:val="decimal"/>
      <w:isLgl/>
      <w:lvlText w:val="%1.%2."/>
      <w:lvlJc w:val="left"/>
      <w:pPr>
        <w:ind w:left="2160" w:hanging="720"/>
      </w:pPr>
    </w:lvl>
    <w:lvl w:ilvl="2">
      <w:start w:val="1"/>
      <w:numFmt w:val="decimal"/>
      <w:isLgl/>
      <w:lvlText w:val="%1.%2.%3."/>
      <w:lvlJc w:val="left"/>
      <w:pPr>
        <w:ind w:left="4026" w:hanging="720"/>
      </w:pPr>
    </w:lvl>
    <w:lvl w:ilvl="3">
      <w:start w:val="1"/>
      <w:numFmt w:val="decimal"/>
      <w:isLgl/>
      <w:lvlText w:val="%1.%2.%3.%4."/>
      <w:lvlJc w:val="left"/>
      <w:pPr>
        <w:ind w:left="6252" w:hanging="1080"/>
      </w:pPr>
    </w:lvl>
    <w:lvl w:ilvl="4">
      <w:start w:val="1"/>
      <w:numFmt w:val="decimal"/>
      <w:isLgl/>
      <w:lvlText w:val="%1.%2.%3.%4.%5."/>
      <w:lvlJc w:val="left"/>
      <w:pPr>
        <w:ind w:left="8118" w:hanging="1080"/>
      </w:pPr>
    </w:lvl>
    <w:lvl w:ilvl="5">
      <w:start w:val="1"/>
      <w:numFmt w:val="decimal"/>
      <w:isLgl/>
      <w:lvlText w:val="%1.%2.%3.%4.%5.%6."/>
      <w:lvlJc w:val="left"/>
      <w:pPr>
        <w:ind w:left="10344" w:hanging="1440"/>
      </w:pPr>
    </w:lvl>
    <w:lvl w:ilvl="6">
      <w:start w:val="1"/>
      <w:numFmt w:val="decimal"/>
      <w:isLgl/>
      <w:lvlText w:val="%1.%2.%3.%4.%5.%6.%7."/>
      <w:lvlJc w:val="left"/>
      <w:pPr>
        <w:ind w:left="12210" w:hanging="1440"/>
      </w:pPr>
    </w:lvl>
    <w:lvl w:ilvl="7">
      <w:start w:val="1"/>
      <w:numFmt w:val="decimal"/>
      <w:isLgl/>
      <w:lvlText w:val="%1.%2.%3.%4.%5.%6.%7.%8."/>
      <w:lvlJc w:val="left"/>
      <w:pPr>
        <w:ind w:left="14436" w:hanging="1800"/>
      </w:pPr>
    </w:lvl>
    <w:lvl w:ilvl="8">
      <w:start w:val="1"/>
      <w:numFmt w:val="decimal"/>
      <w:isLgl/>
      <w:lvlText w:val="%1.%2.%3.%4.%5.%6.%7.%8.%9."/>
      <w:lvlJc w:val="left"/>
      <w:pPr>
        <w:ind w:left="16662" w:hanging="2160"/>
      </w:pPr>
    </w:lvl>
  </w:abstractNum>
  <w:num w:numId="1">
    <w:abstractNumId w:val="6"/>
  </w:num>
  <w:num w:numId="2">
    <w:abstractNumId w:val="0"/>
  </w:num>
  <w:num w:numId="3">
    <w:abstractNumId w:val="9"/>
  </w:num>
  <w:num w:numId="4">
    <w:abstractNumId w:val="3"/>
  </w:num>
  <w:num w:numId="5">
    <w:abstractNumId w:val="2"/>
  </w:num>
  <w:num w:numId="6">
    <w:abstractNumId w:val="1"/>
  </w:num>
  <w:num w:numId="7">
    <w:abstractNumId w:val="7"/>
  </w:num>
  <w:num w:numId="8">
    <w:abstractNumId w:val="8"/>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25A"/>
    <w:rsid w:val="000063FE"/>
    <w:rsid w:val="000262E8"/>
    <w:rsid w:val="000441EA"/>
    <w:rsid w:val="00057957"/>
    <w:rsid w:val="00084D18"/>
    <w:rsid w:val="000958DD"/>
    <w:rsid w:val="000D7005"/>
    <w:rsid w:val="000E624D"/>
    <w:rsid w:val="000F1864"/>
    <w:rsid w:val="0013464E"/>
    <w:rsid w:val="001F4593"/>
    <w:rsid w:val="00200C76"/>
    <w:rsid w:val="00205C85"/>
    <w:rsid w:val="00206952"/>
    <w:rsid w:val="00227C34"/>
    <w:rsid w:val="002563BB"/>
    <w:rsid w:val="00264CC8"/>
    <w:rsid w:val="00286573"/>
    <w:rsid w:val="002A508E"/>
    <w:rsid w:val="002B5C71"/>
    <w:rsid w:val="002E0B77"/>
    <w:rsid w:val="003019DD"/>
    <w:rsid w:val="0033798E"/>
    <w:rsid w:val="00360479"/>
    <w:rsid w:val="003606F3"/>
    <w:rsid w:val="00367264"/>
    <w:rsid w:val="003817C2"/>
    <w:rsid w:val="00381CDF"/>
    <w:rsid w:val="003C13F4"/>
    <w:rsid w:val="003D2C97"/>
    <w:rsid w:val="003D7103"/>
    <w:rsid w:val="003D7CFD"/>
    <w:rsid w:val="003F0F7F"/>
    <w:rsid w:val="003F6932"/>
    <w:rsid w:val="00423534"/>
    <w:rsid w:val="004718B0"/>
    <w:rsid w:val="00481C5B"/>
    <w:rsid w:val="004C5045"/>
    <w:rsid w:val="004F5FCF"/>
    <w:rsid w:val="00566093"/>
    <w:rsid w:val="005B5889"/>
    <w:rsid w:val="005D38BE"/>
    <w:rsid w:val="005D4957"/>
    <w:rsid w:val="00675450"/>
    <w:rsid w:val="006B659E"/>
    <w:rsid w:val="006D1B84"/>
    <w:rsid w:val="006F7A14"/>
    <w:rsid w:val="00714AF6"/>
    <w:rsid w:val="00720EAE"/>
    <w:rsid w:val="007449AE"/>
    <w:rsid w:val="00747EDF"/>
    <w:rsid w:val="00750F60"/>
    <w:rsid w:val="007E61F7"/>
    <w:rsid w:val="007F7DF6"/>
    <w:rsid w:val="00812231"/>
    <w:rsid w:val="00892F89"/>
    <w:rsid w:val="00897441"/>
    <w:rsid w:val="008A54C2"/>
    <w:rsid w:val="008F1757"/>
    <w:rsid w:val="008F397B"/>
    <w:rsid w:val="00927276"/>
    <w:rsid w:val="0093367F"/>
    <w:rsid w:val="00951EC3"/>
    <w:rsid w:val="00967B67"/>
    <w:rsid w:val="0097237C"/>
    <w:rsid w:val="00972BFD"/>
    <w:rsid w:val="00997037"/>
    <w:rsid w:val="009B4C82"/>
    <w:rsid w:val="009D1B3C"/>
    <w:rsid w:val="009F195E"/>
    <w:rsid w:val="00A113BA"/>
    <w:rsid w:val="00A16685"/>
    <w:rsid w:val="00A209EE"/>
    <w:rsid w:val="00A479C0"/>
    <w:rsid w:val="00A6044C"/>
    <w:rsid w:val="00A71DB2"/>
    <w:rsid w:val="00A75A44"/>
    <w:rsid w:val="00AC3183"/>
    <w:rsid w:val="00AC7981"/>
    <w:rsid w:val="00AE4560"/>
    <w:rsid w:val="00B06DB5"/>
    <w:rsid w:val="00B422EA"/>
    <w:rsid w:val="00BA43D8"/>
    <w:rsid w:val="00BB76DB"/>
    <w:rsid w:val="00C061B3"/>
    <w:rsid w:val="00C07BCF"/>
    <w:rsid w:val="00C100DD"/>
    <w:rsid w:val="00C360B9"/>
    <w:rsid w:val="00CB2905"/>
    <w:rsid w:val="00D14B00"/>
    <w:rsid w:val="00D3225A"/>
    <w:rsid w:val="00D63451"/>
    <w:rsid w:val="00D90008"/>
    <w:rsid w:val="00DF56C0"/>
    <w:rsid w:val="00E002D9"/>
    <w:rsid w:val="00E51EB3"/>
    <w:rsid w:val="00E57FB6"/>
    <w:rsid w:val="00E71D02"/>
    <w:rsid w:val="00E77342"/>
    <w:rsid w:val="00E84EBE"/>
    <w:rsid w:val="00E93A03"/>
    <w:rsid w:val="00EA4323"/>
    <w:rsid w:val="00F00612"/>
    <w:rsid w:val="00F128F0"/>
    <w:rsid w:val="00F43428"/>
    <w:rsid w:val="00F650D9"/>
    <w:rsid w:val="00F77BB0"/>
    <w:rsid w:val="00F84F03"/>
    <w:rsid w:val="00F9419E"/>
    <w:rsid w:val="00FA0488"/>
    <w:rsid w:val="00FD3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276E49"/>
  <w15:chartTrackingRefBased/>
  <w15:docId w15:val="{0EBF3302-C69D-4E6A-81E4-5CE3143C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Subst">
    <w:name w:val="Subst"/>
    <w:rPr>
      <w:b/>
      <w:bCs/>
      <w:i/>
      <w:iCs/>
    </w:rPr>
  </w:style>
  <w:style w:type="character" w:styleId="a3">
    <w:name w:val="Hyperlink"/>
    <w:rPr>
      <w:color w:val="000080"/>
      <w:u w:val="single"/>
    </w:rPr>
  </w:style>
  <w:style w:type="paragraph" w:customStyle="1" w:styleId="10">
    <w:name w:val="Заголовок1"/>
    <w:basedOn w:val="a"/>
    <w:next w:val="a4"/>
    <w:pPr>
      <w:keepNext/>
      <w:spacing w:before="240" w:after="120"/>
    </w:pPr>
    <w:rPr>
      <w:rFonts w:ascii="Arial" w:eastAsia="Microsoft YaHei" w:hAnsi="Arial" w:cs="Mangal"/>
      <w:sz w:val="28"/>
      <w:szCs w:val="28"/>
    </w:rPr>
  </w:style>
  <w:style w:type="paragraph" w:styleId="a4">
    <w:name w:val="Body Text"/>
    <w:basedOn w:val="a"/>
    <w:pPr>
      <w:spacing w:after="120"/>
    </w:pPr>
  </w:style>
  <w:style w:type="paragraph" w:styleId="a5">
    <w:name w:val="List"/>
    <w:basedOn w:val="a4"/>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customStyle="1" w:styleId="SubHeading">
    <w:name w:val="Sub Heading"/>
    <w:next w:val="a"/>
    <w:pPr>
      <w:widowControl w:val="0"/>
      <w:suppressAutoHyphens/>
      <w:autoSpaceDE w:val="0"/>
      <w:spacing w:before="240" w:after="40"/>
    </w:pPr>
    <w:rPr>
      <w:lang w:bidi="ru-RU"/>
    </w:rPr>
  </w:style>
  <w:style w:type="paragraph" w:customStyle="1" w:styleId="prilozhenie">
    <w:name w:val="prilozhenie"/>
    <w:basedOn w:val="a"/>
    <w:pPr>
      <w:ind w:firstLine="709"/>
      <w:jc w:val="both"/>
    </w:p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customStyle="1" w:styleId="ConsNormal">
    <w:name w:val="ConsNormal"/>
    <w:rsid w:val="004F5FCF"/>
    <w:pPr>
      <w:widowControl w:val="0"/>
      <w:autoSpaceDE w:val="0"/>
      <w:autoSpaceDN w:val="0"/>
      <w:adjustRightInd w:val="0"/>
      <w:ind w:firstLine="720"/>
    </w:pPr>
    <w:rPr>
      <w:rFonts w:ascii="Arial" w:hAnsi="Arial" w:cs="Arial"/>
      <w:sz w:val="22"/>
      <w:szCs w:val="22"/>
    </w:rPr>
  </w:style>
  <w:style w:type="paragraph" w:customStyle="1" w:styleId="a8">
    <w:name w:val="Знак Знак Знак Знак"/>
    <w:basedOn w:val="a"/>
    <w:rsid w:val="00812231"/>
    <w:pPr>
      <w:widowControl/>
      <w:suppressAutoHyphens w:val="0"/>
    </w:pPr>
    <w:rPr>
      <w:sz w:val="20"/>
      <w:szCs w:val="20"/>
      <w:lang w:val="en-US" w:eastAsia="en-US" w:bidi="ar-SA"/>
    </w:rPr>
  </w:style>
  <w:style w:type="table" w:styleId="-1">
    <w:name w:val="Table Web 1"/>
    <w:basedOn w:val="a1"/>
    <w:rsid w:val="006F7A14"/>
    <w:pPr>
      <w:widowControl w:val="0"/>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9">
    <w:name w:val="Table Grid"/>
    <w:basedOn w:val="a1"/>
    <w:uiPriority w:val="99"/>
    <w:rsid w:val="00E57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rsid w:val="00E57FB6"/>
    <w:pPr>
      <w:widowControl w:val="0"/>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a">
    <w:name w:val="Balloon Text"/>
    <w:basedOn w:val="a"/>
    <w:semiHidden/>
    <w:rsid w:val="00F00612"/>
    <w:rPr>
      <w:rFonts w:ascii="Tahoma" w:hAnsi="Tahoma" w:cs="Tahoma"/>
      <w:sz w:val="16"/>
      <w:szCs w:val="16"/>
    </w:rPr>
  </w:style>
  <w:style w:type="character" w:styleId="ab">
    <w:name w:val="Strong"/>
    <w:uiPriority w:val="22"/>
    <w:qFormat/>
    <w:rsid w:val="0033798E"/>
    <w:rPr>
      <w:b/>
      <w:bCs/>
    </w:rPr>
  </w:style>
  <w:style w:type="paragraph" w:styleId="2">
    <w:name w:val="Body Text Indent 2"/>
    <w:basedOn w:val="a"/>
    <w:link w:val="20"/>
    <w:rsid w:val="00205C85"/>
    <w:pPr>
      <w:widowControl/>
      <w:suppressAutoHyphens w:val="0"/>
      <w:spacing w:after="120" w:line="480" w:lineRule="auto"/>
      <w:ind w:left="283"/>
    </w:pPr>
    <w:rPr>
      <w:lang w:bidi="ar-SA"/>
    </w:rPr>
  </w:style>
  <w:style w:type="character" w:customStyle="1" w:styleId="20">
    <w:name w:val="Основной текст с отступом 2 Знак"/>
    <w:link w:val="2"/>
    <w:rsid w:val="00205C85"/>
    <w:rPr>
      <w:sz w:val="24"/>
      <w:szCs w:val="24"/>
    </w:rPr>
  </w:style>
  <w:style w:type="character" w:styleId="ac">
    <w:name w:val="Unresolved Mention"/>
    <w:basedOn w:val="a0"/>
    <w:uiPriority w:val="99"/>
    <w:semiHidden/>
    <w:unhideWhenUsed/>
    <w:rsid w:val="00927276"/>
    <w:rPr>
      <w:color w:val="605E5C"/>
      <w:shd w:val="clear" w:color="auto" w:fill="E1DFDD"/>
    </w:rPr>
  </w:style>
  <w:style w:type="paragraph" w:customStyle="1" w:styleId="Default">
    <w:name w:val="Default"/>
    <w:rsid w:val="009D1B3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66238">
      <w:bodyDiv w:val="1"/>
      <w:marLeft w:val="0"/>
      <w:marRight w:val="0"/>
      <w:marTop w:val="0"/>
      <w:marBottom w:val="0"/>
      <w:divBdr>
        <w:top w:val="none" w:sz="0" w:space="0" w:color="auto"/>
        <w:left w:val="none" w:sz="0" w:space="0" w:color="auto"/>
        <w:bottom w:val="none" w:sz="0" w:space="0" w:color="auto"/>
        <w:right w:val="none" w:sz="0" w:space="0" w:color="auto"/>
      </w:divBdr>
    </w:div>
    <w:div w:id="104098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aons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3</Pages>
  <Words>1093</Words>
  <Characters>6234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Сообщение о существенном факте</vt:lpstr>
    </vt:vector>
  </TitlesOfParts>
  <Company>2</Company>
  <LinksUpToDate>false</LinksUpToDate>
  <CharactersWithSpaces>7313</CharactersWithSpaces>
  <SharedDoc>false</SharedDoc>
  <HLinks>
    <vt:vector size="12" baseType="variant">
      <vt:variant>
        <vt:i4>2097274</vt:i4>
      </vt:variant>
      <vt:variant>
        <vt:i4>3</vt:i4>
      </vt:variant>
      <vt:variant>
        <vt:i4>0</vt:i4>
      </vt:variant>
      <vt:variant>
        <vt:i4>5</vt:i4>
      </vt:variant>
      <vt:variant>
        <vt:lpwstr>http://www.e-disclosure.ru/portal/company.aspx?id=20639</vt:lpwstr>
      </vt:variant>
      <vt:variant>
        <vt:lpwstr/>
      </vt:variant>
      <vt:variant>
        <vt:i4>196699</vt:i4>
      </vt:variant>
      <vt:variant>
        <vt:i4>0</vt:i4>
      </vt:variant>
      <vt:variant>
        <vt:i4>0</vt:i4>
      </vt:variant>
      <vt:variant>
        <vt:i4>5</vt:i4>
      </vt:variant>
      <vt:variant>
        <vt:lpwstr>http://www.oaonsv.ru/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существенном факте</dc:title>
  <dc:subject/>
  <dc:creator>1</dc:creator>
  <cp:keywords/>
  <dc:description/>
  <cp:lastModifiedBy>Тимофеева Екатерина Юрьевна</cp:lastModifiedBy>
  <cp:revision>41</cp:revision>
  <cp:lastPrinted>2024-03-01T14:24:00Z</cp:lastPrinted>
  <dcterms:created xsi:type="dcterms:W3CDTF">2012-11-01T11:10:00Z</dcterms:created>
  <dcterms:modified xsi:type="dcterms:W3CDTF">2024-05-20T13:20:00Z</dcterms:modified>
</cp:coreProperties>
</file>