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29" w:rsidRPr="000C7BDD" w:rsidRDefault="00A93729" w:rsidP="00A93729">
      <w:pPr>
        <w:jc w:val="center"/>
        <w:rPr>
          <w:b/>
          <w:bCs/>
          <w:sz w:val="22"/>
          <w:szCs w:val="22"/>
          <w:lang w:val="en-US"/>
        </w:rPr>
      </w:pPr>
      <w:bookmarkStart w:id="0" w:name="OLE_LINK1"/>
      <w:bookmarkStart w:id="1" w:name="OLE_LINK2"/>
      <w:bookmarkStart w:id="2" w:name="OLE_LINK3"/>
      <w:bookmarkStart w:id="3" w:name="OLE_LINK4"/>
    </w:p>
    <w:p w:rsidR="00A93729" w:rsidRPr="000C7BDD" w:rsidRDefault="00A93729" w:rsidP="00A93729">
      <w:pPr>
        <w:jc w:val="center"/>
        <w:rPr>
          <w:b/>
          <w:bCs/>
          <w:sz w:val="22"/>
          <w:szCs w:val="22"/>
          <w:lang w:val="en-US"/>
        </w:rPr>
      </w:pPr>
    </w:p>
    <w:p w:rsidR="00A93729" w:rsidRPr="00F01892" w:rsidRDefault="00A93729" w:rsidP="00A93729">
      <w:pPr>
        <w:jc w:val="center"/>
        <w:rPr>
          <w:b/>
          <w:bCs/>
          <w:sz w:val="22"/>
          <w:szCs w:val="22"/>
        </w:rPr>
      </w:pPr>
      <w:r w:rsidRPr="00F01892">
        <w:rPr>
          <w:b/>
          <w:bCs/>
          <w:sz w:val="22"/>
          <w:szCs w:val="22"/>
        </w:rPr>
        <w:t xml:space="preserve">Сообщение </w:t>
      </w:r>
      <w:r>
        <w:rPr>
          <w:b/>
          <w:bCs/>
          <w:sz w:val="22"/>
          <w:szCs w:val="22"/>
        </w:rPr>
        <w:t>о существенном факте</w:t>
      </w:r>
    </w:p>
    <w:p w:rsidR="00A93729" w:rsidRPr="00F01892" w:rsidRDefault="00A93729" w:rsidP="00A93729">
      <w:pPr>
        <w:jc w:val="center"/>
        <w:rPr>
          <w:b/>
          <w:sz w:val="22"/>
          <w:szCs w:val="22"/>
        </w:rPr>
      </w:pPr>
      <w:r w:rsidRPr="00F01892">
        <w:rPr>
          <w:b/>
          <w:sz w:val="22"/>
          <w:szCs w:val="22"/>
        </w:rPr>
        <w:t>«</w:t>
      </w:r>
      <w:r>
        <w:rPr>
          <w:b/>
          <w:sz w:val="22"/>
          <w:szCs w:val="22"/>
        </w:rPr>
        <w:t>О</w:t>
      </w:r>
      <w:r w:rsidRPr="00A93729">
        <w:rPr>
          <w:b/>
          <w:sz w:val="22"/>
          <w:szCs w:val="22"/>
        </w:rPr>
        <w:t xml:space="preserve"> дате начала размещения ценных бумаг</w:t>
      </w:r>
      <w:r w:rsidRPr="00F01892">
        <w:rPr>
          <w:b/>
          <w:sz w:val="22"/>
          <w:szCs w:val="22"/>
        </w:rPr>
        <w:t>»</w:t>
      </w:r>
    </w:p>
    <w:tbl>
      <w:tblPr>
        <w:tblW w:w="11057" w:type="dxa"/>
        <w:tblInd w:w="152" w:type="dxa"/>
        <w:tblLayout w:type="fixed"/>
        <w:tblCellMar>
          <w:left w:w="10" w:type="dxa"/>
          <w:right w:w="10" w:type="dxa"/>
        </w:tblCellMar>
        <w:tblLook w:val="0000" w:firstRow="0" w:lastRow="0" w:firstColumn="0" w:lastColumn="0" w:noHBand="0" w:noVBand="0"/>
      </w:tblPr>
      <w:tblGrid>
        <w:gridCol w:w="5387"/>
        <w:gridCol w:w="5670"/>
      </w:tblGrid>
      <w:tr w:rsidR="00A93729" w:rsidRPr="00F01892" w:rsidTr="001A193F">
        <w:tblPrEx>
          <w:tblCellMar>
            <w:top w:w="0" w:type="dxa"/>
            <w:bottom w:w="0" w:type="dxa"/>
          </w:tblCellMar>
        </w:tblPrEx>
        <w:tc>
          <w:tcPr>
            <w:tcW w:w="11057" w:type="dxa"/>
            <w:gridSpan w:val="2"/>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jc w:val="center"/>
              <w:rPr>
                <w:rFonts w:ascii="Courier New CYR" w:hAnsi="Courier New CYR" w:cs="Courier New CYR"/>
                <w:b/>
                <w:bCs/>
                <w:i/>
                <w:iCs/>
                <w:sz w:val="22"/>
                <w:szCs w:val="22"/>
                <w:lang w:bidi="ar-SA"/>
              </w:rPr>
            </w:pPr>
            <w:r w:rsidRPr="00F01892">
              <w:rPr>
                <w:rFonts w:ascii="Times New Roman CYR" w:hAnsi="Times New Roman CYR" w:cs="Times New Roman CYR"/>
                <w:b/>
                <w:bCs/>
                <w:sz w:val="22"/>
                <w:szCs w:val="22"/>
                <w:lang w:bidi="ar-SA"/>
              </w:rPr>
              <w:t>1. Общие сведения</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rPr>
                <w:rFonts w:ascii="Courier New CYR" w:hAnsi="Courier New CYR" w:cs="Courier New CYR"/>
                <w:color w:val="000000"/>
                <w:sz w:val="22"/>
                <w:szCs w:val="22"/>
                <w:lang w:bidi="ar-SA"/>
              </w:rPr>
            </w:pPr>
            <w:r w:rsidRPr="00F01892">
              <w:rPr>
                <w:rFonts w:ascii="Times New Roman CYR" w:hAnsi="Times New Roman CYR" w:cs="Times New Roman CYR"/>
                <w:color w:val="000000"/>
                <w:sz w:val="22"/>
                <w:szCs w:val="22"/>
                <w:lang w:bidi="ar-SA"/>
              </w:rPr>
              <w:t xml:space="preserve">  1.1. Полное фирменное наименование эмитента    </w:t>
            </w:r>
          </w:p>
        </w:tc>
        <w:tc>
          <w:tcPr>
            <w:tcW w:w="5670"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widowControl/>
              <w:suppressAutoHyphens w:val="0"/>
              <w:snapToGrid w:val="0"/>
              <w:ind w:left="57" w:right="57"/>
              <w:jc w:val="both"/>
              <w:rPr>
                <w:b/>
                <w:bCs/>
                <w:i/>
                <w:iCs/>
                <w:sz w:val="22"/>
                <w:szCs w:val="22"/>
                <w:lang w:bidi="ar-SA"/>
              </w:rPr>
            </w:pPr>
            <w:r w:rsidRPr="00F01892">
              <w:rPr>
                <w:b/>
                <w:bCs/>
                <w:i/>
                <w:iCs/>
                <w:sz w:val="22"/>
                <w:szCs w:val="22"/>
                <w:lang w:bidi="ar-SA"/>
              </w:rPr>
              <w:t>Публичное акционерное общество "Наука-Связь"</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rPr>
                <w:rFonts w:ascii="Courier New CYR" w:hAnsi="Courier New CYR" w:cs="Courier New CYR"/>
                <w:color w:val="000000"/>
                <w:sz w:val="22"/>
                <w:szCs w:val="22"/>
                <w:lang w:bidi="ar-SA"/>
              </w:rPr>
            </w:pPr>
            <w:r w:rsidRPr="00F01892">
              <w:rPr>
                <w:rFonts w:ascii="Times New Roman CYR" w:hAnsi="Times New Roman CYR" w:cs="Times New Roman CYR"/>
                <w:color w:val="000000"/>
                <w:sz w:val="22"/>
                <w:szCs w:val="22"/>
                <w:lang w:bidi="ar-SA"/>
              </w:rPr>
              <w:t xml:space="preserve">  1.2. Адрес эмитента, указанный в едином государственном реестре юридических лиц</w:t>
            </w:r>
          </w:p>
        </w:tc>
        <w:tc>
          <w:tcPr>
            <w:tcW w:w="5670"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widowControl/>
              <w:suppressAutoHyphens w:val="0"/>
              <w:snapToGrid w:val="0"/>
              <w:ind w:left="57" w:right="57"/>
              <w:jc w:val="both"/>
              <w:rPr>
                <w:b/>
                <w:bCs/>
                <w:i/>
                <w:iCs/>
                <w:sz w:val="22"/>
                <w:szCs w:val="22"/>
                <w:lang w:bidi="ar-SA"/>
              </w:rPr>
            </w:pPr>
            <w:r w:rsidRPr="00F01892">
              <w:rPr>
                <w:b/>
                <w:bCs/>
                <w:i/>
                <w:iCs/>
                <w:sz w:val="22"/>
                <w:szCs w:val="22"/>
                <w:lang w:bidi="ar-SA"/>
              </w:rPr>
              <w:t>125124, г. Москва, ул. 3-Я Ямского Поля, д. 2 к. 13 этаж 1 пом. IV ком. 16</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rPr>
                <w:rFonts w:ascii="Courier New CYR" w:hAnsi="Courier New CYR" w:cs="Courier New CYR"/>
                <w:color w:val="000000"/>
                <w:sz w:val="22"/>
                <w:szCs w:val="22"/>
                <w:lang w:bidi="ar-SA"/>
              </w:rPr>
            </w:pPr>
            <w:r w:rsidRPr="00F01892">
              <w:rPr>
                <w:rFonts w:ascii="Times New Roman CYR" w:hAnsi="Times New Roman CYR" w:cs="Times New Roman CYR"/>
                <w:color w:val="000000"/>
                <w:sz w:val="22"/>
                <w:szCs w:val="22"/>
                <w:lang w:bidi="ar-SA"/>
              </w:rPr>
              <w:t xml:space="preserve">  1.3. Основной государственный регистрационный номер (ОГРН) эмитента</w:t>
            </w:r>
          </w:p>
        </w:tc>
        <w:tc>
          <w:tcPr>
            <w:tcW w:w="5670"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widowControl/>
              <w:suppressAutoHyphens w:val="0"/>
              <w:snapToGrid w:val="0"/>
              <w:ind w:left="57" w:right="57"/>
              <w:jc w:val="both"/>
              <w:rPr>
                <w:b/>
                <w:bCs/>
                <w:i/>
                <w:iCs/>
                <w:sz w:val="22"/>
                <w:szCs w:val="22"/>
                <w:lang w:bidi="ar-SA"/>
              </w:rPr>
            </w:pPr>
            <w:r w:rsidRPr="00F01892">
              <w:rPr>
                <w:b/>
                <w:bCs/>
                <w:i/>
                <w:iCs/>
                <w:sz w:val="22"/>
                <w:szCs w:val="22"/>
                <w:lang w:bidi="ar-SA"/>
              </w:rPr>
              <w:t>1077761976852</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ind w:firstLine="180"/>
              <w:rPr>
                <w:rFonts w:ascii="Courier New CYR" w:hAnsi="Courier New CYR" w:cs="Courier New CYR"/>
                <w:color w:val="000000"/>
                <w:sz w:val="22"/>
                <w:szCs w:val="22"/>
                <w:lang w:bidi="ar-SA"/>
              </w:rPr>
            </w:pPr>
            <w:r w:rsidRPr="00F01892">
              <w:rPr>
                <w:rFonts w:ascii="Times New Roman CYR" w:hAnsi="Times New Roman CYR" w:cs="Times New Roman CYR"/>
                <w:color w:val="000000"/>
                <w:sz w:val="22"/>
                <w:szCs w:val="22"/>
                <w:lang w:bidi="ar-SA"/>
              </w:rPr>
              <w:t>1.4. Идентификационный номер налогоплательщика (ИНН) эмитента</w:t>
            </w:r>
          </w:p>
        </w:tc>
        <w:tc>
          <w:tcPr>
            <w:tcW w:w="5670"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widowControl/>
              <w:suppressAutoHyphens w:val="0"/>
              <w:snapToGrid w:val="0"/>
              <w:ind w:left="57" w:right="57"/>
              <w:jc w:val="both"/>
              <w:rPr>
                <w:b/>
                <w:bCs/>
                <w:i/>
                <w:iCs/>
                <w:sz w:val="22"/>
                <w:szCs w:val="22"/>
                <w:lang w:bidi="ar-SA"/>
              </w:rPr>
            </w:pPr>
            <w:r w:rsidRPr="00F01892">
              <w:rPr>
                <w:b/>
                <w:bCs/>
                <w:i/>
                <w:iCs/>
                <w:sz w:val="22"/>
                <w:szCs w:val="22"/>
                <w:lang w:bidi="ar-SA"/>
              </w:rPr>
              <w:t>7714716995</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suppressAutoHyphens w:val="0"/>
              <w:autoSpaceDE w:val="0"/>
              <w:autoSpaceDN w:val="0"/>
              <w:adjustRightInd w:val="0"/>
              <w:ind w:firstLine="38"/>
              <w:rPr>
                <w:rFonts w:ascii="Courier New CYR" w:hAnsi="Courier New CYR" w:cs="Courier New CYR"/>
                <w:color w:val="000000"/>
                <w:sz w:val="22"/>
                <w:szCs w:val="22"/>
                <w:lang w:bidi="ar-SA"/>
              </w:rPr>
            </w:pPr>
            <w:r w:rsidRPr="00F01892">
              <w:rPr>
                <w:rFonts w:ascii="Times New Roman CYR" w:hAnsi="Times New Roman CYR" w:cs="Times New Roman CYR"/>
                <w:color w:val="000000"/>
                <w:sz w:val="22"/>
                <w:szCs w:val="22"/>
                <w:lang w:bidi="ar-SA"/>
              </w:rPr>
              <w:t xml:space="preserve">  1.5. Уникальный   код   эмитента, присвоенный Банком России                                  </w:t>
            </w:r>
          </w:p>
        </w:tc>
        <w:tc>
          <w:tcPr>
            <w:tcW w:w="5670" w:type="dxa"/>
            <w:tcBorders>
              <w:top w:val="single" w:sz="2" w:space="0" w:color="000000"/>
              <w:left w:val="single" w:sz="2" w:space="0" w:color="000000"/>
              <w:bottom w:val="single" w:sz="2" w:space="0" w:color="000000"/>
              <w:right w:val="single" w:sz="2" w:space="0" w:color="000000"/>
            </w:tcBorders>
          </w:tcPr>
          <w:p w:rsidR="00A93729" w:rsidRPr="00F01892" w:rsidRDefault="00A93729" w:rsidP="001A193F">
            <w:pPr>
              <w:widowControl/>
              <w:suppressAutoHyphens w:val="0"/>
              <w:snapToGrid w:val="0"/>
              <w:ind w:left="57" w:right="57"/>
              <w:jc w:val="both"/>
              <w:rPr>
                <w:b/>
                <w:bCs/>
                <w:i/>
                <w:iCs/>
                <w:sz w:val="22"/>
                <w:szCs w:val="22"/>
                <w:lang w:bidi="ar-SA"/>
              </w:rPr>
            </w:pPr>
            <w:r w:rsidRPr="00F01892">
              <w:rPr>
                <w:b/>
                <w:bCs/>
                <w:i/>
                <w:iCs/>
                <w:sz w:val="22"/>
                <w:szCs w:val="22"/>
                <w:lang w:bidi="ar-SA"/>
              </w:rPr>
              <w:t>12689-А</w:t>
            </w:r>
          </w:p>
        </w:tc>
      </w:tr>
      <w:tr w:rsidR="00A93729" w:rsidRPr="00F01892" w:rsidTr="001A193F">
        <w:tblPrEx>
          <w:tblCellMar>
            <w:top w:w="0" w:type="dxa"/>
            <w:bottom w:w="0" w:type="dxa"/>
          </w:tblCellMar>
        </w:tblPrEx>
        <w:tc>
          <w:tcPr>
            <w:tcW w:w="5387" w:type="dxa"/>
            <w:tcBorders>
              <w:top w:val="single" w:sz="2" w:space="0" w:color="000000"/>
              <w:left w:val="single" w:sz="2" w:space="0" w:color="000000"/>
              <w:bottom w:val="single" w:sz="2" w:space="0" w:color="000000"/>
              <w:right w:val="single" w:sz="4" w:space="0" w:color="auto"/>
            </w:tcBorders>
          </w:tcPr>
          <w:p w:rsidR="00A93729" w:rsidRPr="00F01892" w:rsidRDefault="00A93729" w:rsidP="001A193F">
            <w:pPr>
              <w:suppressAutoHyphens w:val="0"/>
              <w:autoSpaceDE w:val="0"/>
              <w:autoSpaceDN w:val="0"/>
              <w:adjustRightInd w:val="0"/>
              <w:rPr>
                <w:color w:val="000000"/>
                <w:sz w:val="22"/>
                <w:szCs w:val="22"/>
                <w:lang w:bidi="ar-SA"/>
              </w:rPr>
            </w:pPr>
            <w:r w:rsidRPr="00F01892">
              <w:rPr>
                <w:color w:val="000000"/>
                <w:sz w:val="22"/>
                <w:szCs w:val="22"/>
                <w:lang w:bidi="ar-SA"/>
              </w:rPr>
              <w:t xml:space="preserve">  1.6. Адрес страницы в сети Интернет, и</w:t>
            </w:r>
            <w:proofErr w:type="gramStart"/>
            <w:r w:rsidRPr="00F01892">
              <w:rPr>
                <w:color w:val="000000"/>
                <w:sz w:val="22"/>
                <w:szCs w:val="22"/>
                <w:lang w:val="en-US" w:bidi="ar-SA"/>
              </w:rPr>
              <w:t>c</w:t>
            </w:r>
            <w:proofErr w:type="gramEnd"/>
            <w:r w:rsidRPr="00F01892">
              <w:rPr>
                <w:color w:val="000000"/>
                <w:sz w:val="22"/>
                <w:szCs w:val="22"/>
                <w:lang w:bidi="ar-SA"/>
              </w:rPr>
              <w:t xml:space="preserve">пользуемой   эмитентом для раскрытия информации           </w:t>
            </w:r>
          </w:p>
        </w:tc>
        <w:tc>
          <w:tcPr>
            <w:tcW w:w="5670" w:type="dxa"/>
            <w:tcBorders>
              <w:top w:val="single" w:sz="2" w:space="0" w:color="000000"/>
              <w:left w:val="single" w:sz="4" w:space="0" w:color="auto"/>
              <w:bottom w:val="single" w:sz="2" w:space="0" w:color="000000"/>
              <w:right w:val="single" w:sz="2" w:space="0" w:color="000000"/>
            </w:tcBorders>
          </w:tcPr>
          <w:p w:rsidR="00A93729" w:rsidRPr="00F01892" w:rsidRDefault="00A93729" w:rsidP="001A193F">
            <w:pPr>
              <w:widowControl/>
              <w:suppressAutoHyphens w:val="0"/>
              <w:ind w:left="57" w:right="57"/>
              <w:rPr>
                <w:b/>
                <w:bCs/>
                <w:i/>
                <w:color w:val="000000"/>
                <w:sz w:val="22"/>
                <w:szCs w:val="22"/>
                <w:lang w:bidi="ar-SA"/>
              </w:rPr>
            </w:pPr>
            <w:r w:rsidRPr="00F01892">
              <w:rPr>
                <w:b/>
                <w:bCs/>
                <w:i/>
                <w:color w:val="000000"/>
                <w:sz w:val="22"/>
                <w:szCs w:val="22"/>
                <w:lang w:val="en-US" w:bidi="ar-SA"/>
              </w:rPr>
              <w:t>http</w:t>
            </w:r>
            <w:r w:rsidRPr="00F01892">
              <w:rPr>
                <w:b/>
                <w:bCs/>
                <w:i/>
                <w:color w:val="000000"/>
                <w:sz w:val="22"/>
                <w:szCs w:val="22"/>
                <w:lang w:bidi="ar-SA"/>
              </w:rPr>
              <w:t>://</w:t>
            </w:r>
            <w:r w:rsidRPr="00F01892">
              <w:rPr>
                <w:b/>
                <w:bCs/>
                <w:i/>
                <w:color w:val="000000"/>
                <w:sz w:val="22"/>
                <w:szCs w:val="22"/>
                <w:lang w:val="en-US" w:bidi="ar-SA"/>
              </w:rPr>
              <w:t>w</w:t>
            </w:r>
            <w:hyperlink r:id="rId5" w:history="1">
              <w:r w:rsidRPr="00F01892">
                <w:rPr>
                  <w:b/>
                  <w:i/>
                  <w:color w:val="000000"/>
                  <w:sz w:val="22"/>
                  <w:szCs w:val="22"/>
                  <w:lang w:eastAsia="x-none" w:bidi="ar-SA"/>
                </w:rPr>
                <w:t>ww.oaonsv.ru</w:t>
              </w:r>
            </w:hyperlink>
            <w:r w:rsidRPr="00F01892">
              <w:rPr>
                <w:b/>
                <w:bCs/>
                <w:i/>
                <w:color w:val="000000"/>
                <w:sz w:val="22"/>
                <w:szCs w:val="22"/>
                <w:lang w:bidi="ar-SA"/>
              </w:rPr>
              <w:t xml:space="preserve"> </w:t>
            </w:r>
          </w:p>
          <w:p w:rsidR="00A93729" w:rsidRPr="00F01892" w:rsidRDefault="00A93729" w:rsidP="001A193F">
            <w:pPr>
              <w:widowControl/>
              <w:suppressAutoHyphens w:val="0"/>
              <w:snapToGrid w:val="0"/>
              <w:ind w:left="57" w:right="57"/>
              <w:jc w:val="both"/>
              <w:rPr>
                <w:color w:val="000000"/>
                <w:sz w:val="22"/>
                <w:szCs w:val="22"/>
                <w:lang w:bidi="ar-SA"/>
              </w:rPr>
            </w:pPr>
            <w:r w:rsidRPr="00F01892">
              <w:rPr>
                <w:b/>
                <w:i/>
                <w:color w:val="000000"/>
                <w:sz w:val="22"/>
                <w:szCs w:val="22"/>
                <w:lang w:val="en-US" w:bidi="ar-SA"/>
              </w:rPr>
              <w:t>http</w:t>
            </w:r>
            <w:r w:rsidRPr="00F01892">
              <w:rPr>
                <w:b/>
                <w:i/>
                <w:color w:val="000000"/>
                <w:sz w:val="22"/>
                <w:szCs w:val="22"/>
                <w:lang w:bidi="ar-SA"/>
              </w:rPr>
              <w:t>://</w:t>
            </w:r>
            <w:r w:rsidRPr="00F01892">
              <w:rPr>
                <w:b/>
                <w:i/>
                <w:color w:val="000000"/>
                <w:sz w:val="22"/>
                <w:szCs w:val="22"/>
                <w:lang w:val="en-US" w:bidi="ar-SA"/>
              </w:rPr>
              <w:t>www</w:t>
            </w:r>
            <w:r w:rsidRPr="00F01892">
              <w:rPr>
                <w:b/>
                <w:i/>
                <w:color w:val="000000"/>
                <w:sz w:val="22"/>
                <w:szCs w:val="22"/>
                <w:lang w:bidi="ar-SA"/>
              </w:rPr>
              <w:t>.</w:t>
            </w:r>
            <w:r w:rsidRPr="00F01892">
              <w:rPr>
                <w:b/>
                <w:i/>
                <w:color w:val="000000"/>
                <w:sz w:val="22"/>
                <w:szCs w:val="22"/>
                <w:lang w:val="en-US" w:bidi="ar-SA"/>
              </w:rPr>
              <w:t>e</w:t>
            </w:r>
            <w:r w:rsidRPr="00F01892">
              <w:rPr>
                <w:b/>
                <w:i/>
                <w:color w:val="000000"/>
                <w:sz w:val="22"/>
                <w:szCs w:val="22"/>
                <w:lang w:bidi="ar-SA"/>
              </w:rPr>
              <w:t>-</w:t>
            </w:r>
            <w:r w:rsidRPr="00F01892">
              <w:rPr>
                <w:b/>
                <w:i/>
                <w:color w:val="000000"/>
                <w:sz w:val="22"/>
                <w:szCs w:val="22"/>
                <w:lang w:val="en-US" w:bidi="ar-SA"/>
              </w:rPr>
              <w:t>disclosure</w:t>
            </w:r>
            <w:r w:rsidRPr="00F01892">
              <w:rPr>
                <w:b/>
                <w:i/>
                <w:color w:val="000000"/>
                <w:sz w:val="22"/>
                <w:szCs w:val="22"/>
                <w:lang w:bidi="ar-SA"/>
              </w:rPr>
              <w:t>.</w:t>
            </w:r>
            <w:proofErr w:type="spellStart"/>
            <w:r w:rsidRPr="00F01892">
              <w:rPr>
                <w:b/>
                <w:i/>
                <w:color w:val="000000"/>
                <w:sz w:val="22"/>
                <w:szCs w:val="22"/>
                <w:lang w:val="en-US" w:bidi="ar-SA"/>
              </w:rPr>
              <w:t>ru</w:t>
            </w:r>
            <w:proofErr w:type="spellEnd"/>
            <w:r w:rsidRPr="00F01892">
              <w:rPr>
                <w:b/>
                <w:i/>
                <w:color w:val="000000"/>
                <w:sz w:val="22"/>
                <w:szCs w:val="22"/>
                <w:lang w:bidi="ar-SA"/>
              </w:rPr>
              <w:t>/</w:t>
            </w:r>
            <w:r w:rsidRPr="00F01892">
              <w:rPr>
                <w:b/>
                <w:i/>
                <w:color w:val="000000"/>
                <w:sz w:val="22"/>
                <w:szCs w:val="22"/>
                <w:lang w:val="en-US" w:bidi="ar-SA"/>
              </w:rPr>
              <w:t>portal</w:t>
            </w:r>
            <w:r w:rsidRPr="00F01892">
              <w:rPr>
                <w:b/>
                <w:i/>
                <w:color w:val="000000"/>
                <w:sz w:val="22"/>
                <w:szCs w:val="22"/>
                <w:lang w:bidi="ar-SA"/>
              </w:rPr>
              <w:t>/</w:t>
            </w:r>
            <w:r w:rsidRPr="00F01892">
              <w:rPr>
                <w:b/>
                <w:i/>
                <w:color w:val="000000"/>
                <w:sz w:val="22"/>
                <w:szCs w:val="22"/>
                <w:lang w:val="en-US" w:bidi="ar-SA"/>
              </w:rPr>
              <w:t>company</w:t>
            </w:r>
            <w:r w:rsidRPr="00F01892">
              <w:rPr>
                <w:b/>
                <w:i/>
                <w:color w:val="000000"/>
                <w:sz w:val="22"/>
                <w:szCs w:val="22"/>
                <w:lang w:bidi="ar-SA"/>
              </w:rPr>
              <w:t>.</w:t>
            </w:r>
            <w:proofErr w:type="spellStart"/>
            <w:r w:rsidRPr="00F01892">
              <w:rPr>
                <w:b/>
                <w:i/>
                <w:color w:val="000000"/>
                <w:sz w:val="22"/>
                <w:szCs w:val="22"/>
                <w:lang w:val="en-US" w:bidi="ar-SA"/>
              </w:rPr>
              <w:t>aspx</w:t>
            </w:r>
            <w:proofErr w:type="spellEnd"/>
            <w:r w:rsidRPr="00F01892">
              <w:rPr>
                <w:b/>
                <w:i/>
                <w:color w:val="000000"/>
                <w:sz w:val="22"/>
                <w:szCs w:val="22"/>
                <w:lang w:bidi="ar-SA"/>
              </w:rPr>
              <w:t>?</w:t>
            </w:r>
            <w:r w:rsidRPr="00F01892">
              <w:rPr>
                <w:b/>
                <w:i/>
                <w:color w:val="000000"/>
                <w:sz w:val="22"/>
                <w:szCs w:val="22"/>
                <w:lang w:val="en-US" w:bidi="ar-SA"/>
              </w:rPr>
              <w:t>id</w:t>
            </w:r>
            <w:r w:rsidRPr="00F01892">
              <w:rPr>
                <w:b/>
                <w:i/>
                <w:color w:val="000000"/>
                <w:sz w:val="22"/>
                <w:szCs w:val="22"/>
                <w:lang w:bidi="ar-SA"/>
              </w:rPr>
              <w:t>=20639</w:t>
            </w:r>
          </w:p>
        </w:tc>
      </w:tr>
      <w:tr w:rsidR="00A93729" w:rsidRPr="00F01892" w:rsidTr="001A19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6"/>
        </w:trPr>
        <w:tc>
          <w:tcPr>
            <w:tcW w:w="5387" w:type="dxa"/>
          </w:tcPr>
          <w:p w:rsidR="00A93729" w:rsidRPr="00F01892" w:rsidRDefault="00A93729" w:rsidP="001A193F">
            <w:pPr>
              <w:widowControl/>
              <w:suppressAutoHyphens w:val="0"/>
              <w:rPr>
                <w:sz w:val="22"/>
                <w:szCs w:val="22"/>
                <w:lang w:bidi="ar-SA"/>
              </w:rPr>
            </w:pPr>
            <w:r w:rsidRPr="00F01892">
              <w:rPr>
                <w:sz w:val="22"/>
                <w:szCs w:val="22"/>
                <w:lang w:bidi="ar-SA"/>
              </w:rPr>
              <w:t>1.7. Дата наступления события, о котором составлено сообщение</w:t>
            </w:r>
          </w:p>
        </w:tc>
        <w:tc>
          <w:tcPr>
            <w:tcW w:w="5670" w:type="dxa"/>
          </w:tcPr>
          <w:p w:rsidR="00A93729" w:rsidRPr="00F01892" w:rsidRDefault="00A93729" w:rsidP="001A193F">
            <w:pPr>
              <w:widowControl/>
              <w:suppressAutoHyphens w:val="0"/>
              <w:ind w:right="57"/>
              <w:rPr>
                <w:b/>
                <w:i/>
                <w:sz w:val="22"/>
                <w:szCs w:val="22"/>
                <w:lang w:val="en-US" w:bidi="ar-SA"/>
              </w:rPr>
            </w:pPr>
            <w:r>
              <w:rPr>
                <w:b/>
                <w:i/>
                <w:sz w:val="22"/>
                <w:szCs w:val="22"/>
                <w:lang w:bidi="ar-SA"/>
              </w:rPr>
              <w:t>30</w:t>
            </w:r>
            <w:r w:rsidRPr="00F01892">
              <w:rPr>
                <w:b/>
                <w:i/>
                <w:sz w:val="22"/>
                <w:szCs w:val="22"/>
                <w:lang w:bidi="ar-SA"/>
              </w:rPr>
              <w:t>.</w:t>
            </w:r>
            <w:r>
              <w:rPr>
                <w:b/>
                <w:i/>
                <w:sz w:val="22"/>
                <w:szCs w:val="22"/>
                <w:lang w:bidi="ar-SA"/>
              </w:rPr>
              <w:t>01</w:t>
            </w:r>
            <w:r w:rsidRPr="00F01892">
              <w:rPr>
                <w:b/>
                <w:i/>
                <w:sz w:val="22"/>
                <w:szCs w:val="22"/>
                <w:lang w:bidi="ar-SA"/>
              </w:rPr>
              <w:t>.202</w:t>
            </w:r>
            <w:r>
              <w:rPr>
                <w:b/>
                <w:i/>
                <w:sz w:val="22"/>
                <w:szCs w:val="22"/>
                <w:lang w:bidi="ar-SA"/>
              </w:rPr>
              <w:t>3</w:t>
            </w:r>
            <w:r w:rsidRPr="00F01892">
              <w:rPr>
                <w:b/>
                <w:i/>
                <w:sz w:val="22"/>
                <w:szCs w:val="22"/>
                <w:lang w:bidi="ar-SA"/>
              </w:rPr>
              <w:t xml:space="preserve"> г.</w:t>
            </w:r>
          </w:p>
        </w:tc>
      </w:tr>
      <w:tr w:rsidR="00A93729" w:rsidRPr="00F01892" w:rsidTr="001A193F">
        <w:tblPrEx>
          <w:tblCellMar>
            <w:top w:w="0" w:type="dxa"/>
            <w:bottom w:w="0" w:type="dxa"/>
          </w:tblCellMar>
        </w:tblPrEx>
        <w:trPr>
          <w:trHeight w:val="180"/>
        </w:trPr>
        <w:tc>
          <w:tcPr>
            <w:tcW w:w="11057" w:type="dxa"/>
            <w:gridSpan w:val="2"/>
            <w:tcBorders>
              <w:top w:val="single" w:sz="1" w:space="0" w:color="000000"/>
              <w:left w:val="single" w:sz="1" w:space="0" w:color="000000"/>
              <w:bottom w:val="single" w:sz="1" w:space="0" w:color="000000"/>
              <w:right w:val="single" w:sz="1" w:space="0" w:color="000000"/>
            </w:tcBorders>
            <w:shd w:val="clear" w:color="auto" w:fill="auto"/>
          </w:tcPr>
          <w:p w:rsidR="00A93729" w:rsidRPr="00F01892" w:rsidRDefault="00A93729" w:rsidP="001A193F">
            <w:pPr>
              <w:autoSpaceDE w:val="0"/>
              <w:jc w:val="center"/>
              <w:rPr>
                <w:rFonts w:eastAsia="Times New Roman CYR"/>
                <w:b/>
                <w:bCs/>
                <w:color w:val="000000"/>
                <w:sz w:val="22"/>
                <w:szCs w:val="22"/>
              </w:rPr>
            </w:pPr>
            <w:r w:rsidRPr="00F01892">
              <w:rPr>
                <w:rFonts w:eastAsia="Times New Roman CYR"/>
                <w:b/>
                <w:bCs/>
                <w:color w:val="000000"/>
                <w:sz w:val="22"/>
                <w:szCs w:val="22"/>
              </w:rPr>
              <w:t>2. Содержание сообщения</w:t>
            </w:r>
          </w:p>
        </w:tc>
      </w:tr>
      <w:tr w:rsidR="00A93729" w:rsidRPr="00F01892" w:rsidTr="001A193F">
        <w:tblPrEx>
          <w:tblCellMar>
            <w:top w:w="0" w:type="dxa"/>
            <w:bottom w:w="0" w:type="dxa"/>
          </w:tblCellMar>
        </w:tblPrEx>
        <w:trPr>
          <w:trHeight w:val="180"/>
        </w:trPr>
        <w:tc>
          <w:tcPr>
            <w:tcW w:w="11057" w:type="dxa"/>
            <w:gridSpan w:val="2"/>
            <w:tcBorders>
              <w:top w:val="single" w:sz="1" w:space="0" w:color="000000"/>
              <w:left w:val="single" w:sz="1" w:space="0" w:color="000000"/>
              <w:bottom w:val="single" w:sz="1" w:space="0" w:color="000000"/>
              <w:right w:val="single" w:sz="1" w:space="0" w:color="000000"/>
            </w:tcBorders>
            <w:shd w:val="clear" w:color="auto" w:fill="auto"/>
          </w:tcPr>
          <w:p w:rsidR="00A93729" w:rsidRPr="00A93729" w:rsidRDefault="00A93729" w:rsidP="00A93729">
            <w:pPr>
              <w:jc w:val="both"/>
              <w:rPr>
                <w:sz w:val="22"/>
                <w:szCs w:val="22"/>
              </w:rPr>
            </w:pPr>
            <w:r>
              <w:rPr>
                <w:sz w:val="22"/>
                <w:szCs w:val="22"/>
              </w:rPr>
              <w:t>2.1. В</w:t>
            </w:r>
            <w:r w:rsidRPr="00A93729">
              <w:rPr>
                <w:sz w:val="22"/>
                <w:szCs w:val="22"/>
              </w:rPr>
              <w:t>ид, категория (тип), серия (при наличии) и иные идентификационные признаки размещаемых ценных бумаг, указанные в решении о выпуске ценных бумаг</w:t>
            </w:r>
            <w:r>
              <w:rPr>
                <w:sz w:val="22"/>
                <w:szCs w:val="22"/>
              </w:rPr>
              <w:t>:</w:t>
            </w:r>
            <w:r>
              <w:t xml:space="preserve"> </w:t>
            </w:r>
            <w:r w:rsidRPr="00A93729">
              <w:rPr>
                <w:b/>
                <w:i/>
                <w:sz w:val="22"/>
                <w:szCs w:val="22"/>
              </w:rPr>
              <w:t>акции обыкновенные</w:t>
            </w:r>
            <w:r w:rsidRPr="00A93729">
              <w:rPr>
                <w:b/>
                <w:i/>
                <w:sz w:val="22"/>
                <w:szCs w:val="22"/>
              </w:rPr>
              <w:t>;</w:t>
            </w:r>
          </w:p>
          <w:p w:rsidR="00A93729" w:rsidRPr="00A93729" w:rsidRDefault="00A93729" w:rsidP="00A93729">
            <w:pPr>
              <w:jc w:val="both"/>
              <w:rPr>
                <w:sz w:val="22"/>
                <w:szCs w:val="22"/>
              </w:rPr>
            </w:pPr>
            <w:r>
              <w:rPr>
                <w:sz w:val="22"/>
                <w:szCs w:val="22"/>
              </w:rPr>
              <w:t>2.2. С</w:t>
            </w:r>
            <w:r w:rsidRPr="00A93729">
              <w:rPr>
                <w:sz w:val="22"/>
                <w:szCs w:val="22"/>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Pr>
                <w:sz w:val="22"/>
                <w:szCs w:val="22"/>
              </w:rPr>
              <w:t xml:space="preserve">: </w:t>
            </w:r>
            <w:r w:rsidRPr="00A93729">
              <w:rPr>
                <w:b/>
                <w:i/>
                <w:sz w:val="22"/>
                <w:szCs w:val="22"/>
              </w:rPr>
              <w:t>не применимо</w:t>
            </w:r>
            <w:r w:rsidRPr="00A93729">
              <w:rPr>
                <w:b/>
                <w:i/>
                <w:sz w:val="22"/>
                <w:szCs w:val="22"/>
              </w:rPr>
              <w:t>;</w:t>
            </w:r>
          </w:p>
          <w:p w:rsidR="00A93729" w:rsidRPr="00A93729" w:rsidRDefault="00A93729" w:rsidP="00A93729">
            <w:pPr>
              <w:jc w:val="both"/>
              <w:rPr>
                <w:sz w:val="22"/>
                <w:szCs w:val="22"/>
              </w:rPr>
            </w:pPr>
            <w:r>
              <w:rPr>
                <w:sz w:val="22"/>
                <w:szCs w:val="22"/>
              </w:rPr>
              <w:t>2.3. Р</w:t>
            </w:r>
            <w:r w:rsidRPr="00A93729">
              <w:rPr>
                <w:sz w:val="22"/>
                <w:szCs w:val="22"/>
              </w:rPr>
              <w:t>егистрационный номер выпуска (дополнительного выпуска) ценных бумаг и дата его регистрации</w:t>
            </w:r>
            <w:r w:rsidR="007850A7">
              <w:rPr>
                <w:sz w:val="22"/>
                <w:szCs w:val="22"/>
              </w:rPr>
              <w:t xml:space="preserve">: </w:t>
            </w:r>
            <w:r w:rsidR="007850A7" w:rsidRPr="00A93729">
              <w:rPr>
                <w:b/>
                <w:i/>
                <w:sz w:val="22"/>
                <w:szCs w:val="22"/>
              </w:rPr>
              <w:t>1-01-12689-А-003D от 29.12.2022г.</w:t>
            </w:r>
            <w:r w:rsidRPr="007850A7">
              <w:rPr>
                <w:b/>
                <w:i/>
                <w:sz w:val="22"/>
                <w:szCs w:val="22"/>
              </w:rPr>
              <w:t>;</w:t>
            </w:r>
          </w:p>
          <w:p w:rsidR="007850A7" w:rsidRDefault="007850A7" w:rsidP="00A93729">
            <w:pPr>
              <w:jc w:val="both"/>
              <w:rPr>
                <w:b/>
                <w:i/>
                <w:sz w:val="22"/>
                <w:szCs w:val="22"/>
              </w:rPr>
            </w:pPr>
            <w:r>
              <w:rPr>
                <w:sz w:val="22"/>
                <w:szCs w:val="22"/>
              </w:rPr>
              <w:t>2.4. Л</w:t>
            </w:r>
            <w:r w:rsidR="00A93729" w:rsidRPr="00A93729">
              <w:rPr>
                <w:sz w:val="22"/>
                <w:szCs w:val="22"/>
              </w:rPr>
              <w:t>ицо, осуществившее регистрацию выпуска (дополнительного выпуска) ценных бумаг (Банк России, регистрирующая организация)</w:t>
            </w:r>
            <w:r w:rsidR="00A93729">
              <w:rPr>
                <w:sz w:val="22"/>
                <w:szCs w:val="22"/>
              </w:rPr>
              <w:t xml:space="preserve">: </w:t>
            </w:r>
            <w:r w:rsidRPr="007850A7">
              <w:rPr>
                <w:b/>
                <w:i/>
                <w:sz w:val="22"/>
                <w:szCs w:val="22"/>
              </w:rPr>
              <w:t>Банк России</w:t>
            </w:r>
            <w:r>
              <w:rPr>
                <w:b/>
                <w:i/>
                <w:sz w:val="22"/>
                <w:szCs w:val="22"/>
              </w:rPr>
              <w:t>;</w:t>
            </w:r>
          </w:p>
          <w:p w:rsidR="00A93729" w:rsidRPr="00A93729" w:rsidRDefault="00A93729" w:rsidP="00A93729">
            <w:pPr>
              <w:jc w:val="both"/>
              <w:rPr>
                <w:sz w:val="22"/>
                <w:szCs w:val="22"/>
              </w:rPr>
            </w:pPr>
            <w:r>
              <w:rPr>
                <w:sz w:val="22"/>
                <w:szCs w:val="22"/>
              </w:rPr>
              <w:t>2.</w:t>
            </w:r>
            <w:r w:rsidR="007850A7">
              <w:rPr>
                <w:sz w:val="22"/>
                <w:szCs w:val="22"/>
              </w:rPr>
              <w:t>5</w:t>
            </w:r>
            <w:r>
              <w:rPr>
                <w:sz w:val="22"/>
                <w:szCs w:val="22"/>
              </w:rPr>
              <w:t>. К</w:t>
            </w:r>
            <w:r w:rsidRPr="00A93729">
              <w:rPr>
                <w:sz w:val="22"/>
                <w:szCs w:val="22"/>
              </w:rPr>
              <w:t>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Pr>
                <w:sz w:val="22"/>
                <w:szCs w:val="22"/>
              </w:rPr>
              <w:t xml:space="preserve">: </w:t>
            </w:r>
            <w:r w:rsidR="007850A7" w:rsidRPr="00EB5931">
              <w:rPr>
                <w:b/>
                <w:i/>
                <w:sz w:val="22"/>
                <w:szCs w:val="22"/>
              </w:rPr>
              <w:t>количество размещаемых ценных бумаг – 11 000 000 (Одиннадцать миллионов) штук, номинальная стоимость – 1 (один) рубль</w:t>
            </w:r>
            <w:r w:rsidRPr="00A93729">
              <w:rPr>
                <w:b/>
                <w:i/>
                <w:sz w:val="22"/>
                <w:szCs w:val="22"/>
              </w:rPr>
              <w:t>;</w:t>
            </w:r>
          </w:p>
          <w:p w:rsidR="00A93729" w:rsidRPr="00A93729" w:rsidRDefault="00A93729" w:rsidP="00A93729">
            <w:pPr>
              <w:jc w:val="both"/>
              <w:rPr>
                <w:sz w:val="22"/>
                <w:szCs w:val="22"/>
              </w:rPr>
            </w:pPr>
            <w:r>
              <w:rPr>
                <w:sz w:val="22"/>
                <w:szCs w:val="22"/>
              </w:rPr>
              <w:t>2.</w:t>
            </w:r>
            <w:r w:rsidR="007850A7">
              <w:rPr>
                <w:sz w:val="22"/>
                <w:szCs w:val="22"/>
              </w:rPr>
              <w:t>6</w:t>
            </w:r>
            <w:r>
              <w:rPr>
                <w:sz w:val="22"/>
                <w:szCs w:val="22"/>
              </w:rPr>
              <w:t>. С</w:t>
            </w:r>
            <w:r w:rsidRPr="00A93729">
              <w:rPr>
                <w:sz w:val="22"/>
                <w:szCs w:val="22"/>
              </w:rPr>
              <w:t>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Pr>
                <w:sz w:val="22"/>
                <w:szCs w:val="22"/>
              </w:rPr>
              <w:t xml:space="preserve">: </w:t>
            </w:r>
            <w:r w:rsidRPr="00A93729">
              <w:rPr>
                <w:b/>
                <w:i/>
                <w:sz w:val="22"/>
                <w:szCs w:val="22"/>
              </w:rPr>
              <w:t>открытая подписка</w:t>
            </w:r>
            <w:r w:rsidRPr="00A93729">
              <w:rPr>
                <w:b/>
                <w:i/>
                <w:sz w:val="22"/>
                <w:szCs w:val="22"/>
              </w:rPr>
              <w:t>;</w:t>
            </w:r>
          </w:p>
          <w:p w:rsidR="00A93729" w:rsidRPr="00A93729" w:rsidRDefault="00A93729" w:rsidP="00A93729">
            <w:pPr>
              <w:jc w:val="both"/>
              <w:rPr>
                <w:sz w:val="22"/>
                <w:szCs w:val="22"/>
              </w:rPr>
            </w:pPr>
            <w:r>
              <w:rPr>
                <w:sz w:val="22"/>
                <w:szCs w:val="22"/>
              </w:rPr>
              <w:t>2.</w:t>
            </w:r>
            <w:r w:rsidR="007850A7">
              <w:rPr>
                <w:sz w:val="22"/>
                <w:szCs w:val="22"/>
              </w:rPr>
              <w:t>7</w:t>
            </w:r>
            <w:r>
              <w:rPr>
                <w:sz w:val="22"/>
                <w:szCs w:val="22"/>
              </w:rPr>
              <w:t xml:space="preserve">. </w:t>
            </w:r>
            <w:proofErr w:type="gramStart"/>
            <w:r>
              <w:rPr>
                <w:sz w:val="22"/>
                <w:szCs w:val="22"/>
              </w:rPr>
              <w:t>Ц</w:t>
            </w:r>
            <w:r w:rsidRPr="00A93729">
              <w:rPr>
                <w:sz w:val="22"/>
                <w:szCs w:val="22"/>
              </w:rPr>
              <w:t>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Pr>
                <w:sz w:val="22"/>
                <w:szCs w:val="22"/>
              </w:rPr>
              <w:t>:</w:t>
            </w:r>
            <w:r>
              <w:t xml:space="preserve"> </w:t>
            </w:r>
            <w:r w:rsidRPr="00A93729">
              <w:rPr>
                <w:b/>
                <w:i/>
                <w:sz w:val="22"/>
                <w:szCs w:val="22"/>
              </w:rPr>
              <w:t>цена размещения одной акции дополнительного выпуска 155 (Сто пятьдесят пять) рублей для лиц, осуществляющих преимущественное право приобретения размещаемы</w:t>
            </w:r>
            <w:r>
              <w:rPr>
                <w:b/>
                <w:i/>
                <w:sz w:val="22"/>
                <w:szCs w:val="22"/>
              </w:rPr>
              <w:t>х акций дополнительного</w:t>
            </w:r>
            <w:proofErr w:type="gramEnd"/>
            <w:r>
              <w:rPr>
                <w:b/>
                <w:i/>
                <w:sz w:val="22"/>
                <w:szCs w:val="22"/>
              </w:rPr>
              <w:t xml:space="preserve"> выпуска</w:t>
            </w:r>
            <w:r w:rsidRPr="00A93729">
              <w:rPr>
                <w:b/>
                <w:i/>
                <w:sz w:val="22"/>
                <w:szCs w:val="22"/>
              </w:rPr>
              <w:t xml:space="preserve"> и для всех иных приобретателей</w:t>
            </w:r>
            <w:r w:rsidRPr="00A93729">
              <w:rPr>
                <w:b/>
                <w:i/>
                <w:sz w:val="22"/>
                <w:szCs w:val="22"/>
              </w:rPr>
              <w:t>;</w:t>
            </w:r>
          </w:p>
          <w:p w:rsidR="00A93729" w:rsidRPr="00A93729" w:rsidRDefault="00A93729" w:rsidP="00A93729">
            <w:pPr>
              <w:jc w:val="both"/>
              <w:rPr>
                <w:sz w:val="22"/>
                <w:szCs w:val="22"/>
              </w:rPr>
            </w:pPr>
            <w:r>
              <w:rPr>
                <w:sz w:val="22"/>
                <w:szCs w:val="22"/>
              </w:rPr>
              <w:t>2.</w:t>
            </w:r>
            <w:r w:rsidR="007850A7">
              <w:rPr>
                <w:sz w:val="22"/>
                <w:szCs w:val="22"/>
              </w:rPr>
              <w:t>8</w:t>
            </w:r>
            <w:r>
              <w:rPr>
                <w:sz w:val="22"/>
                <w:szCs w:val="22"/>
              </w:rPr>
              <w:t xml:space="preserve">. </w:t>
            </w:r>
            <w:proofErr w:type="gramStart"/>
            <w:r>
              <w:rPr>
                <w:sz w:val="22"/>
                <w:szCs w:val="22"/>
              </w:rPr>
              <w:t>И</w:t>
            </w:r>
            <w:r w:rsidRPr="00A93729">
              <w:rPr>
                <w:sz w:val="22"/>
                <w:szCs w:val="22"/>
              </w:rPr>
              <w:t>нформация о предоставлении участникам (акционерам) эмитента и (или) иным лицам преимущественного права приобретения ценных бумаг</w:t>
            </w:r>
            <w:r>
              <w:rPr>
                <w:sz w:val="22"/>
                <w:szCs w:val="22"/>
              </w:rPr>
              <w:t xml:space="preserve">: </w:t>
            </w:r>
            <w:r w:rsidRPr="00A93729">
              <w:rPr>
                <w:b/>
                <w:i/>
                <w:sz w:val="22"/>
                <w:szCs w:val="22"/>
              </w:rPr>
              <w:t>преимущественное право приобретения дополнительных Акций имеют лица, являющиеся акционерами Эмитента на «29» августа 2022 г. (дата определения (фиксации) лиц, имеющих право на участие во внеочередном общем собрании акционеров Общества, на котором было принято решение о размещении Акций)</w:t>
            </w:r>
            <w:r w:rsidRPr="00A93729">
              <w:rPr>
                <w:b/>
                <w:i/>
                <w:sz w:val="22"/>
                <w:szCs w:val="22"/>
              </w:rPr>
              <w:t>;</w:t>
            </w:r>
            <w:proofErr w:type="gramEnd"/>
          </w:p>
          <w:p w:rsidR="00A93729" w:rsidRPr="00A93729" w:rsidRDefault="00A93729" w:rsidP="00A93729">
            <w:pPr>
              <w:jc w:val="both"/>
              <w:rPr>
                <w:sz w:val="22"/>
                <w:szCs w:val="22"/>
              </w:rPr>
            </w:pPr>
            <w:r>
              <w:rPr>
                <w:sz w:val="22"/>
                <w:szCs w:val="22"/>
              </w:rPr>
              <w:t>2.</w:t>
            </w:r>
            <w:r w:rsidR="007850A7">
              <w:rPr>
                <w:sz w:val="22"/>
                <w:szCs w:val="22"/>
              </w:rPr>
              <w:t>9</w:t>
            </w:r>
            <w:r>
              <w:rPr>
                <w:sz w:val="22"/>
                <w:szCs w:val="22"/>
              </w:rPr>
              <w:t>. Д</w:t>
            </w:r>
            <w:r w:rsidRPr="00A93729">
              <w:rPr>
                <w:sz w:val="22"/>
                <w:szCs w:val="22"/>
              </w:rPr>
              <w:t>ата начала размещения ценных бумаг</w:t>
            </w:r>
            <w:r>
              <w:rPr>
                <w:sz w:val="22"/>
                <w:szCs w:val="22"/>
              </w:rPr>
              <w:t xml:space="preserve">: </w:t>
            </w:r>
            <w:r w:rsidRPr="00A93729">
              <w:rPr>
                <w:b/>
                <w:i/>
                <w:sz w:val="22"/>
                <w:szCs w:val="22"/>
              </w:rPr>
              <w:t>31.01.2023</w:t>
            </w:r>
            <w:r w:rsidRPr="00A93729">
              <w:rPr>
                <w:sz w:val="22"/>
                <w:szCs w:val="22"/>
              </w:rPr>
              <w:t>;</w:t>
            </w:r>
          </w:p>
          <w:p w:rsidR="00A93729" w:rsidRPr="00A93729" w:rsidRDefault="00A93729" w:rsidP="00A93729">
            <w:pPr>
              <w:jc w:val="both"/>
              <w:rPr>
                <w:sz w:val="22"/>
                <w:szCs w:val="22"/>
              </w:rPr>
            </w:pPr>
            <w:r>
              <w:rPr>
                <w:sz w:val="22"/>
                <w:szCs w:val="22"/>
              </w:rPr>
              <w:t>2.</w:t>
            </w:r>
            <w:r w:rsidR="007850A7">
              <w:rPr>
                <w:sz w:val="22"/>
                <w:szCs w:val="22"/>
              </w:rPr>
              <w:t>10</w:t>
            </w:r>
            <w:r>
              <w:rPr>
                <w:sz w:val="22"/>
                <w:szCs w:val="22"/>
              </w:rPr>
              <w:t>. У</w:t>
            </w:r>
            <w:r w:rsidRPr="00A93729">
              <w:rPr>
                <w:sz w:val="22"/>
                <w:szCs w:val="22"/>
              </w:rPr>
              <w:t>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Pr>
                <w:sz w:val="22"/>
                <w:szCs w:val="22"/>
              </w:rPr>
              <w:t xml:space="preserve">: </w:t>
            </w:r>
            <w:r w:rsidRPr="00A93729">
              <w:rPr>
                <w:b/>
                <w:i/>
                <w:sz w:val="22"/>
                <w:szCs w:val="22"/>
              </w:rPr>
              <w:t>не применимо</w:t>
            </w:r>
            <w:r w:rsidRPr="00A93729">
              <w:rPr>
                <w:b/>
                <w:i/>
                <w:sz w:val="22"/>
                <w:szCs w:val="22"/>
              </w:rPr>
              <w:t>;</w:t>
            </w:r>
          </w:p>
          <w:p w:rsidR="00A93729" w:rsidRDefault="00A93729" w:rsidP="00A93729">
            <w:pPr>
              <w:jc w:val="both"/>
              <w:rPr>
                <w:sz w:val="22"/>
                <w:szCs w:val="22"/>
              </w:rPr>
            </w:pPr>
            <w:r>
              <w:rPr>
                <w:sz w:val="22"/>
                <w:szCs w:val="22"/>
              </w:rPr>
              <w:t>2.1</w:t>
            </w:r>
            <w:r w:rsidR="007850A7">
              <w:rPr>
                <w:sz w:val="22"/>
                <w:szCs w:val="22"/>
              </w:rPr>
              <w:t>1</w:t>
            </w:r>
            <w:r>
              <w:rPr>
                <w:sz w:val="22"/>
                <w:szCs w:val="22"/>
              </w:rPr>
              <w:t>. Д</w:t>
            </w:r>
            <w:r w:rsidRPr="00A93729">
              <w:rPr>
                <w:sz w:val="22"/>
                <w:szCs w:val="22"/>
              </w:rPr>
              <w:t>ата окончания размещения ценных бу</w:t>
            </w:r>
            <w:r>
              <w:rPr>
                <w:sz w:val="22"/>
                <w:szCs w:val="22"/>
              </w:rPr>
              <w:t>маг или порядок ее определения:</w:t>
            </w:r>
          </w:p>
          <w:p w:rsidR="00A93729" w:rsidRPr="00A93729" w:rsidRDefault="00A93729" w:rsidP="00A93729">
            <w:pPr>
              <w:jc w:val="both"/>
              <w:rPr>
                <w:b/>
                <w:i/>
                <w:sz w:val="22"/>
                <w:szCs w:val="22"/>
              </w:rPr>
            </w:pPr>
            <w:r w:rsidRPr="00A93729">
              <w:rPr>
                <w:b/>
                <w:i/>
                <w:sz w:val="22"/>
                <w:szCs w:val="22"/>
              </w:rPr>
              <w:t xml:space="preserve">Датой окончания размещения является наиболее ранняя из следующих дат: </w:t>
            </w:r>
          </w:p>
          <w:p w:rsidR="00A93729" w:rsidRPr="00A93729" w:rsidRDefault="00A93729" w:rsidP="00A93729">
            <w:pPr>
              <w:jc w:val="both"/>
              <w:rPr>
                <w:b/>
                <w:i/>
                <w:sz w:val="22"/>
                <w:szCs w:val="22"/>
              </w:rPr>
            </w:pPr>
            <w:r w:rsidRPr="00A93729">
              <w:rPr>
                <w:b/>
                <w:i/>
                <w:sz w:val="22"/>
                <w:szCs w:val="22"/>
              </w:rPr>
              <w:t xml:space="preserve">а)  дата размещения последней ценной бумаги дополнительного выпуска; </w:t>
            </w:r>
          </w:p>
          <w:p w:rsidR="00A93729" w:rsidRDefault="00A93729" w:rsidP="00A93729">
            <w:pPr>
              <w:jc w:val="both"/>
              <w:rPr>
                <w:b/>
                <w:i/>
                <w:sz w:val="22"/>
                <w:szCs w:val="22"/>
              </w:rPr>
            </w:pPr>
            <w:r w:rsidRPr="00A93729">
              <w:rPr>
                <w:b/>
                <w:i/>
                <w:sz w:val="22"/>
                <w:szCs w:val="22"/>
              </w:rPr>
              <w:t xml:space="preserve">б) один год </w:t>
            </w:r>
            <w:proofErr w:type="gramStart"/>
            <w:r w:rsidRPr="00A93729">
              <w:rPr>
                <w:b/>
                <w:i/>
                <w:sz w:val="22"/>
                <w:szCs w:val="22"/>
              </w:rPr>
              <w:t>с даты</w:t>
            </w:r>
            <w:proofErr w:type="gramEnd"/>
            <w:r w:rsidRPr="00A93729">
              <w:rPr>
                <w:b/>
                <w:i/>
                <w:sz w:val="22"/>
                <w:szCs w:val="22"/>
              </w:rPr>
              <w:t xml:space="preserve"> государственной регистрации дополн</w:t>
            </w:r>
            <w:r w:rsidRPr="00A93729">
              <w:rPr>
                <w:b/>
                <w:i/>
                <w:sz w:val="22"/>
                <w:szCs w:val="22"/>
              </w:rPr>
              <w:t>ительного выпуска ценных бумаг.</w:t>
            </w:r>
          </w:p>
          <w:p w:rsidR="007738F3" w:rsidRDefault="007738F3" w:rsidP="007738F3">
            <w:pPr>
              <w:pStyle w:val="Default"/>
              <w:jc w:val="both"/>
              <w:rPr>
                <w:sz w:val="22"/>
                <w:szCs w:val="22"/>
                <w:lang w:bidi="ru-RU"/>
              </w:rPr>
            </w:pPr>
            <w:r>
              <w:rPr>
                <w:sz w:val="22"/>
                <w:szCs w:val="22"/>
                <w:lang w:bidi="ru-RU"/>
              </w:rPr>
              <w:t>2.1</w:t>
            </w:r>
            <w:r>
              <w:rPr>
                <w:sz w:val="22"/>
                <w:szCs w:val="22"/>
                <w:lang w:bidi="ru-RU"/>
              </w:rPr>
              <w:t>2</w:t>
            </w:r>
            <w:r>
              <w:rPr>
                <w:sz w:val="22"/>
                <w:szCs w:val="22"/>
                <w:lang w:bidi="ru-RU"/>
              </w:rPr>
              <w:t xml:space="preserve">. </w:t>
            </w:r>
            <w:r>
              <w:rPr>
                <w:sz w:val="22"/>
                <w:szCs w:val="22"/>
                <w:lang w:bidi="ru-RU"/>
              </w:rPr>
              <w:t>В</w:t>
            </w:r>
            <w:bookmarkStart w:id="4" w:name="_GoBack"/>
            <w:bookmarkEnd w:id="4"/>
            <w:r w:rsidRPr="005537F7">
              <w:rPr>
                <w:sz w:val="22"/>
                <w:szCs w:val="22"/>
                <w:lang w:bidi="ru-RU"/>
              </w:rPr>
              <w:t xml:space="preserve">ид ценных бумаг (акции), категория (тип) и иные идентификационные признаки акций, указанные в решении о выпуске таких акций, владельцы которых имеют право на участие в общем собрании акционеров эмитента: </w:t>
            </w:r>
          </w:p>
          <w:p w:rsidR="007738F3" w:rsidRDefault="007738F3" w:rsidP="007738F3">
            <w:pPr>
              <w:pStyle w:val="Default"/>
              <w:jc w:val="both"/>
              <w:rPr>
                <w:b/>
                <w:i/>
                <w:sz w:val="22"/>
                <w:szCs w:val="22"/>
                <w:lang w:bidi="ru-RU"/>
              </w:rPr>
            </w:pPr>
            <w:r>
              <w:rPr>
                <w:sz w:val="22"/>
                <w:szCs w:val="22"/>
                <w:lang w:bidi="ru-RU"/>
              </w:rPr>
              <w:t>-</w:t>
            </w:r>
            <w:r w:rsidRPr="005537F7">
              <w:rPr>
                <w:b/>
                <w:i/>
                <w:sz w:val="22"/>
                <w:szCs w:val="22"/>
                <w:lang w:bidi="ru-RU"/>
              </w:rPr>
              <w:t>акции обыкновенные, государственный регистрационный номер выпуска ценных бумаг – 1-01-12689-А от 19.12.2007г.; международный код (номер) идентификации це</w:t>
            </w:r>
            <w:r>
              <w:rPr>
                <w:b/>
                <w:i/>
                <w:sz w:val="22"/>
                <w:szCs w:val="22"/>
                <w:lang w:bidi="ru-RU"/>
              </w:rPr>
              <w:t>нных бумаг (ISIN)– RU000A0GQLB6;</w:t>
            </w:r>
          </w:p>
          <w:p w:rsidR="007738F3" w:rsidRPr="00A93729" w:rsidRDefault="007738F3" w:rsidP="007738F3">
            <w:pPr>
              <w:jc w:val="both"/>
              <w:rPr>
                <w:sz w:val="22"/>
                <w:szCs w:val="22"/>
              </w:rPr>
            </w:pPr>
            <w:r w:rsidRPr="00417A25">
              <w:rPr>
                <w:b/>
                <w:i/>
                <w:sz w:val="22"/>
                <w:szCs w:val="22"/>
              </w:rPr>
              <w:t>-акции обыкновенные, регистрационный номер дополнительного выпуска ценных бумаг – 1-01-12689-А-003D от 29.12.2022г.; международный код (номер) идентификации ценных бумаг (ISIN)– RU000A105QG6.</w:t>
            </w:r>
          </w:p>
        </w:tc>
      </w:tr>
      <w:tr w:rsidR="00A93729" w:rsidRPr="00F01892" w:rsidTr="001A193F">
        <w:tblPrEx>
          <w:tblCellMar>
            <w:top w:w="0" w:type="dxa"/>
            <w:bottom w:w="0" w:type="dxa"/>
          </w:tblCellMar>
        </w:tblPrEx>
        <w:trPr>
          <w:trHeight w:val="180"/>
        </w:trPr>
        <w:tc>
          <w:tcPr>
            <w:tcW w:w="11057" w:type="dxa"/>
            <w:gridSpan w:val="2"/>
            <w:tcBorders>
              <w:top w:val="single" w:sz="1" w:space="0" w:color="000000"/>
              <w:left w:val="single" w:sz="1" w:space="0" w:color="000000"/>
              <w:bottom w:val="single" w:sz="1" w:space="0" w:color="000000"/>
              <w:right w:val="single" w:sz="1" w:space="0" w:color="000000"/>
            </w:tcBorders>
            <w:shd w:val="clear" w:color="auto" w:fill="auto"/>
          </w:tcPr>
          <w:p w:rsidR="00A93729" w:rsidRPr="00F01892" w:rsidRDefault="00A93729" w:rsidP="001A193F">
            <w:pPr>
              <w:autoSpaceDE w:val="0"/>
              <w:jc w:val="center"/>
              <w:rPr>
                <w:rFonts w:eastAsia="Times New Roman CYR"/>
                <w:b/>
                <w:bCs/>
                <w:sz w:val="22"/>
                <w:szCs w:val="22"/>
              </w:rPr>
            </w:pPr>
            <w:r w:rsidRPr="00F01892">
              <w:rPr>
                <w:rFonts w:eastAsia="Times New Roman CYR"/>
                <w:b/>
                <w:bCs/>
                <w:sz w:val="22"/>
                <w:szCs w:val="22"/>
              </w:rPr>
              <w:t>3. Подпись</w:t>
            </w:r>
          </w:p>
        </w:tc>
      </w:tr>
      <w:tr w:rsidR="00A93729" w:rsidRPr="00F01892" w:rsidTr="001A193F">
        <w:tblPrEx>
          <w:tblCellMar>
            <w:top w:w="0" w:type="dxa"/>
            <w:bottom w:w="0" w:type="dxa"/>
          </w:tblCellMar>
        </w:tblPrEx>
        <w:trPr>
          <w:trHeight w:val="1332"/>
        </w:trPr>
        <w:tc>
          <w:tcPr>
            <w:tcW w:w="11057" w:type="dxa"/>
            <w:gridSpan w:val="2"/>
            <w:tcBorders>
              <w:top w:val="single" w:sz="1" w:space="0" w:color="000000"/>
              <w:left w:val="single" w:sz="1" w:space="0" w:color="000000"/>
              <w:bottom w:val="single" w:sz="1" w:space="0" w:color="000000"/>
              <w:right w:val="single" w:sz="1" w:space="0" w:color="000000"/>
            </w:tcBorders>
            <w:shd w:val="clear" w:color="auto" w:fill="auto"/>
          </w:tcPr>
          <w:p w:rsidR="00A93729" w:rsidRPr="00F01892" w:rsidRDefault="00A93729" w:rsidP="001A193F">
            <w:pPr>
              <w:autoSpaceDE w:val="0"/>
              <w:jc w:val="both"/>
              <w:rPr>
                <w:rFonts w:eastAsia="Times New Roman CYR"/>
                <w:sz w:val="22"/>
                <w:szCs w:val="22"/>
              </w:rPr>
            </w:pPr>
            <w:r w:rsidRPr="00F01892">
              <w:rPr>
                <w:rFonts w:eastAsia="Times New Roman CYR"/>
                <w:sz w:val="22"/>
                <w:szCs w:val="22"/>
              </w:rPr>
              <w:lastRenderedPageBreak/>
              <w:t xml:space="preserve">3.1. Генеральный директор </w:t>
            </w:r>
          </w:p>
          <w:p w:rsidR="00A93729" w:rsidRPr="00F01892" w:rsidRDefault="00A93729" w:rsidP="001A193F">
            <w:pPr>
              <w:autoSpaceDE w:val="0"/>
              <w:jc w:val="both"/>
              <w:rPr>
                <w:rFonts w:eastAsia="Times New Roman CYR"/>
                <w:sz w:val="22"/>
                <w:szCs w:val="22"/>
              </w:rPr>
            </w:pPr>
            <w:r w:rsidRPr="00F01892">
              <w:rPr>
                <w:rFonts w:eastAsia="Times New Roman CYR"/>
                <w:sz w:val="22"/>
                <w:szCs w:val="22"/>
              </w:rPr>
              <w:t>Публичного акционерного Общества</w:t>
            </w:r>
          </w:p>
          <w:p w:rsidR="00A93729" w:rsidRPr="00F01892" w:rsidRDefault="00A93729" w:rsidP="001A193F">
            <w:pPr>
              <w:autoSpaceDE w:val="0"/>
              <w:jc w:val="both"/>
              <w:rPr>
                <w:rFonts w:eastAsia="Times New Roman CYR"/>
                <w:sz w:val="22"/>
                <w:szCs w:val="22"/>
              </w:rPr>
            </w:pPr>
            <w:r w:rsidRPr="00F01892">
              <w:rPr>
                <w:rFonts w:eastAsia="Times New Roman CYR"/>
                <w:sz w:val="22"/>
                <w:szCs w:val="22"/>
              </w:rPr>
              <w:t xml:space="preserve">«Наука-Связь»                                                                            ______________          </w:t>
            </w:r>
            <w:proofErr w:type="spellStart"/>
            <w:r w:rsidRPr="00F01892">
              <w:rPr>
                <w:rFonts w:ascii="Times New Roman CYR" w:eastAsia="Times New Roman CYR" w:hAnsi="Times New Roman CYR" w:cs="Times New Roman CYR"/>
                <w:color w:val="000000"/>
                <w:sz w:val="22"/>
                <w:szCs w:val="22"/>
              </w:rPr>
              <w:t>А.А.Калинин</w:t>
            </w:r>
            <w:proofErr w:type="spellEnd"/>
          </w:p>
          <w:p w:rsidR="00A93729" w:rsidRPr="00F01892" w:rsidRDefault="00A93729" w:rsidP="001A193F">
            <w:pPr>
              <w:autoSpaceDE w:val="0"/>
              <w:ind w:firstLine="709"/>
              <w:jc w:val="both"/>
              <w:rPr>
                <w:rFonts w:eastAsia="Courier New CYR"/>
                <w:sz w:val="22"/>
                <w:szCs w:val="22"/>
              </w:rPr>
            </w:pPr>
          </w:p>
          <w:p w:rsidR="00A93729" w:rsidRPr="00F01892" w:rsidRDefault="00A93729" w:rsidP="001A193F">
            <w:pPr>
              <w:autoSpaceDE w:val="0"/>
              <w:jc w:val="both"/>
              <w:rPr>
                <w:rFonts w:eastAsia="Times New Roman CYR"/>
                <w:sz w:val="22"/>
                <w:szCs w:val="22"/>
              </w:rPr>
            </w:pPr>
            <w:r w:rsidRPr="00F01892">
              <w:rPr>
                <w:rFonts w:eastAsia="Times New Roman CYR"/>
                <w:sz w:val="22"/>
                <w:szCs w:val="22"/>
              </w:rPr>
              <w:t>3.2. «</w:t>
            </w:r>
            <w:r>
              <w:rPr>
                <w:rFonts w:eastAsia="Times New Roman CYR"/>
                <w:sz w:val="22"/>
                <w:szCs w:val="22"/>
              </w:rPr>
              <w:t>30</w:t>
            </w:r>
            <w:r w:rsidRPr="00F01892">
              <w:rPr>
                <w:rFonts w:eastAsia="Times New Roman CYR"/>
                <w:sz w:val="22"/>
                <w:szCs w:val="22"/>
              </w:rPr>
              <w:t>»</w:t>
            </w:r>
            <w:r>
              <w:rPr>
                <w:rFonts w:eastAsia="Times New Roman CYR"/>
                <w:sz w:val="22"/>
                <w:szCs w:val="22"/>
              </w:rPr>
              <w:t xml:space="preserve"> января</w:t>
            </w:r>
            <w:r w:rsidRPr="00F01892">
              <w:rPr>
                <w:rFonts w:eastAsia="Times New Roman CYR"/>
                <w:sz w:val="22"/>
                <w:szCs w:val="22"/>
              </w:rPr>
              <w:t xml:space="preserve"> 202</w:t>
            </w:r>
            <w:r>
              <w:rPr>
                <w:rFonts w:eastAsia="Times New Roman CYR"/>
                <w:sz w:val="22"/>
                <w:szCs w:val="22"/>
              </w:rPr>
              <w:t>3</w:t>
            </w:r>
            <w:r w:rsidRPr="00F01892">
              <w:rPr>
                <w:rFonts w:eastAsia="Times New Roman CYR"/>
                <w:sz w:val="22"/>
                <w:szCs w:val="22"/>
              </w:rPr>
              <w:t xml:space="preserve"> г.                                                                        М.П.</w:t>
            </w:r>
          </w:p>
          <w:p w:rsidR="00A93729" w:rsidRPr="00F01892" w:rsidRDefault="00A93729" w:rsidP="001A193F">
            <w:pPr>
              <w:autoSpaceDE w:val="0"/>
              <w:jc w:val="both"/>
              <w:rPr>
                <w:rFonts w:eastAsia="Courier New CYR"/>
                <w:sz w:val="22"/>
                <w:szCs w:val="22"/>
              </w:rPr>
            </w:pPr>
          </w:p>
        </w:tc>
      </w:tr>
      <w:bookmarkEnd w:id="0"/>
      <w:bookmarkEnd w:id="1"/>
      <w:bookmarkEnd w:id="2"/>
      <w:bookmarkEnd w:id="3"/>
    </w:tbl>
    <w:p w:rsidR="00A93729" w:rsidRPr="00F01892" w:rsidRDefault="00A93729" w:rsidP="00A93729">
      <w:pPr>
        <w:autoSpaceDE w:val="0"/>
        <w:rPr>
          <w:rFonts w:eastAsia="Courier New CYR"/>
          <w:sz w:val="22"/>
          <w:szCs w:val="22"/>
        </w:rPr>
      </w:pPr>
    </w:p>
    <w:p w:rsidR="00681BA1" w:rsidRDefault="00681BA1"/>
    <w:sectPr w:rsidR="00681BA1" w:rsidSect="007B70C6">
      <w:pgSz w:w="12240" w:h="15840"/>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29"/>
    <w:rsid w:val="001A6B06"/>
    <w:rsid w:val="00632294"/>
    <w:rsid w:val="00681BA1"/>
    <w:rsid w:val="007738F3"/>
    <w:rsid w:val="007850A7"/>
    <w:rsid w:val="00A9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29"/>
    <w:pPr>
      <w:widowControl w:val="0"/>
      <w:suppressAutoHyphens/>
      <w:spacing w:after="0" w:line="240" w:lineRule="auto"/>
    </w:pPr>
    <w:rPr>
      <w:rFonts w:ascii="Times New Roman" w:eastAsia="Times New Roman" w:hAnsi="Times New Roman" w:cs="Times New Roman"/>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8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729"/>
    <w:pPr>
      <w:widowControl w:val="0"/>
      <w:suppressAutoHyphens/>
      <w:spacing w:after="0" w:line="240" w:lineRule="auto"/>
    </w:pPr>
    <w:rPr>
      <w:rFonts w:ascii="Times New Roman" w:eastAsia="Times New Roman" w:hAnsi="Times New Roman" w:cs="Times New Roman"/>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8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aons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Dudnikova Nina</dc:creator>
  <cp:lastModifiedBy>Dudnikova Nina</cp:lastModifiedBy>
  <cp:revision>2</cp:revision>
  <dcterms:created xsi:type="dcterms:W3CDTF">2023-01-30T15:12:00Z</dcterms:created>
  <dcterms:modified xsi:type="dcterms:W3CDTF">2023-01-30T15:26:00Z</dcterms:modified>
</cp:coreProperties>
</file>