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AE" w:rsidRPr="00C941C4" w:rsidRDefault="00720EAE" w:rsidP="00C941C4">
      <w:pPr>
        <w:pStyle w:val="ac"/>
        <w:jc w:val="center"/>
        <w:rPr>
          <w:rFonts w:ascii="Times New Roman CYR" w:eastAsia="Times New Roman CYR" w:hAnsi="Times New Roman CYR" w:cs="Times New Roman CYR"/>
          <w:b/>
          <w:bCs/>
          <w:i w:val="0"/>
          <w:iCs w:val="0"/>
          <w:color w:val="000000"/>
          <w:spacing w:val="0"/>
          <w:sz w:val="21"/>
          <w:szCs w:val="21"/>
        </w:rPr>
      </w:pPr>
      <w:bookmarkStart w:id="0" w:name="OLE_LINK1"/>
      <w:bookmarkStart w:id="1" w:name="OLE_LINK2"/>
      <w:bookmarkStart w:id="2" w:name="OLE_LINK17"/>
      <w:bookmarkStart w:id="3" w:name="OLE_LINK3"/>
      <w:bookmarkStart w:id="4" w:name="OLE_LINK4"/>
      <w:r w:rsidRPr="00C941C4">
        <w:rPr>
          <w:rFonts w:ascii="Times New Roman CYR" w:eastAsia="Times New Roman CYR" w:hAnsi="Times New Roman CYR" w:cs="Times New Roman CYR"/>
          <w:b/>
          <w:bCs/>
          <w:i w:val="0"/>
          <w:iCs w:val="0"/>
          <w:color w:val="000000"/>
          <w:spacing w:val="0"/>
          <w:sz w:val="21"/>
          <w:szCs w:val="21"/>
        </w:rPr>
        <w:t>Сообщение</w:t>
      </w:r>
    </w:p>
    <w:p w:rsidR="006F7A14" w:rsidRPr="002E0B77" w:rsidRDefault="00720EAE" w:rsidP="00FA303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1"/>
          <w:szCs w:val="21"/>
        </w:rPr>
      </w:pPr>
      <w:r w:rsidRPr="002E0B77">
        <w:rPr>
          <w:rFonts w:ascii="Times New Roman CYR" w:eastAsia="Times New Roman CYR" w:hAnsi="Times New Roman CYR" w:cs="Times New Roman CYR"/>
          <w:b/>
          <w:bCs/>
          <w:color w:val="000000"/>
          <w:sz w:val="21"/>
          <w:szCs w:val="21"/>
        </w:rPr>
        <w:t>«</w:t>
      </w:r>
      <w:r w:rsidR="00FA3039">
        <w:rPr>
          <w:rFonts w:ascii="Times New Roman CYR" w:eastAsia="Times New Roman CYR" w:hAnsi="Times New Roman CYR" w:cs="Times New Roman CYR"/>
          <w:b/>
          <w:bCs/>
          <w:color w:val="000000"/>
          <w:sz w:val="21"/>
          <w:szCs w:val="21"/>
        </w:rPr>
        <w:t>О</w:t>
      </w:r>
      <w:r w:rsidR="00FA3039" w:rsidRPr="00FA3039">
        <w:rPr>
          <w:rFonts w:ascii="Times New Roman CYR" w:eastAsia="Times New Roman CYR" w:hAnsi="Times New Roman CYR" w:cs="Times New Roman CYR"/>
          <w:b/>
          <w:bCs/>
          <w:color w:val="000000"/>
          <w:sz w:val="21"/>
          <w:szCs w:val="21"/>
        </w:rPr>
        <w:t xml:space="preserve"> принятии решения о размещении ценных бумаг</w:t>
      </w:r>
      <w:r w:rsidRPr="002E0B77">
        <w:rPr>
          <w:rFonts w:ascii="Times New Roman CYR" w:eastAsia="Times New Roman CYR" w:hAnsi="Times New Roman CYR" w:cs="Times New Roman CYR"/>
          <w:b/>
          <w:bCs/>
          <w:color w:val="000000"/>
          <w:sz w:val="21"/>
          <w:szCs w:val="21"/>
        </w:rPr>
        <w:t>»</w:t>
      </w:r>
    </w:p>
    <w:p w:rsidR="00927276" w:rsidRPr="002E0B77" w:rsidRDefault="00927276" w:rsidP="00481C5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1"/>
          <w:szCs w:val="21"/>
        </w:rPr>
      </w:pPr>
    </w:p>
    <w:tbl>
      <w:tblPr>
        <w:tblW w:w="10803" w:type="dxa"/>
        <w:tblInd w:w="-7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"/>
        <w:gridCol w:w="6238"/>
        <w:gridCol w:w="4507"/>
        <w:gridCol w:w="29"/>
      </w:tblGrid>
      <w:tr w:rsidR="00AE4560" w:rsidRPr="002E0B77" w:rsidTr="00AE4560">
        <w:trPr>
          <w:gridBefore w:val="1"/>
          <w:wBefore w:w="29" w:type="dxa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bCs/>
                <w:i/>
                <w:iCs/>
                <w:sz w:val="21"/>
                <w:szCs w:val="21"/>
                <w:lang w:bidi="ar-SA"/>
              </w:rPr>
            </w:pPr>
            <w:r w:rsidRPr="002E0B77">
              <w:rPr>
                <w:rFonts w:ascii="Times New Roman CYR" w:hAnsi="Times New Roman CYR" w:cs="Times New Roman CYR"/>
                <w:b/>
                <w:bCs/>
                <w:sz w:val="21"/>
                <w:szCs w:val="21"/>
                <w:lang w:bidi="ar-SA"/>
              </w:rPr>
              <w:t>1. Общие сведения</w:t>
            </w:r>
          </w:p>
        </w:tc>
      </w:tr>
      <w:tr w:rsidR="00AE4560" w:rsidRPr="002E0B77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rFonts w:ascii="Times New Roman CYR" w:hAnsi="Times New Roman CYR" w:cs="Times New Roman CYR"/>
                <w:color w:val="000000"/>
                <w:sz w:val="21"/>
                <w:szCs w:val="21"/>
                <w:lang w:bidi="ar-SA"/>
              </w:rPr>
              <w:t xml:space="preserve">  1.1. Полное фирменное наименование эмитента   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1"/>
                <w:szCs w:val="21"/>
                <w:lang w:bidi="ar-SA"/>
              </w:rPr>
            </w:pPr>
            <w:r w:rsidRPr="002E0B77">
              <w:rPr>
                <w:b/>
                <w:bCs/>
                <w:i/>
                <w:iCs/>
                <w:sz w:val="21"/>
                <w:szCs w:val="21"/>
                <w:lang w:bidi="ar-SA"/>
              </w:rPr>
              <w:t>Публичное акционерное общество "Наука-Связь"</w:t>
            </w:r>
          </w:p>
        </w:tc>
      </w:tr>
      <w:tr w:rsidR="00AE4560" w:rsidRPr="002E0B77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rFonts w:ascii="Times New Roman CYR" w:hAnsi="Times New Roman CYR" w:cs="Times New Roman CYR"/>
                <w:color w:val="000000"/>
                <w:sz w:val="21"/>
                <w:szCs w:val="21"/>
                <w:lang w:bidi="ar-SA"/>
              </w:rPr>
              <w:t xml:space="preserve">  1.2. Адрес эмитента, указанный в едином государственном реестре юридических лиц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1"/>
                <w:szCs w:val="21"/>
                <w:lang w:bidi="ar-SA"/>
              </w:rPr>
            </w:pPr>
            <w:r w:rsidRPr="002E0B77">
              <w:rPr>
                <w:b/>
                <w:bCs/>
                <w:i/>
                <w:iCs/>
                <w:sz w:val="21"/>
                <w:szCs w:val="21"/>
                <w:lang w:bidi="ar-SA"/>
              </w:rPr>
              <w:t>125124, г. Москва, ул. 3-Я Ямского Поля, д. 2 к. 13 этаж 1 пом. IV ком. 16</w:t>
            </w:r>
          </w:p>
        </w:tc>
      </w:tr>
      <w:tr w:rsidR="00AE4560" w:rsidRPr="002E0B77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rFonts w:ascii="Times New Roman CYR" w:hAnsi="Times New Roman CYR" w:cs="Times New Roman CYR"/>
                <w:color w:val="000000"/>
                <w:sz w:val="21"/>
                <w:szCs w:val="21"/>
                <w:lang w:bidi="ar-SA"/>
              </w:rPr>
              <w:t xml:space="preserve">  1.3. Основной государственный регистрационный номер (ОГРН) эмитента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1"/>
                <w:szCs w:val="21"/>
                <w:lang w:bidi="ar-SA"/>
              </w:rPr>
            </w:pPr>
            <w:r w:rsidRPr="002E0B77">
              <w:rPr>
                <w:b/>
                <w:bCs/>
                <w:i/>
                <w:iCs/>
                <w:sz w:val="21"/>
                <w:szCs w:val="21"/>
                <w:lang w:bidi="ar-SA"/>
              </w:rPr>
              <w:t>1077761976852</w:t>
            </w:r>
          </w:p>
        </w:tc>
      </w:tr>
      <w:tr w:rsidR="00AE4560" w:rsidRPr="002E0B77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suppressAutoHyphens w:val="0"/>
              <w:autoSpaceDE w:val="0"/>
              <w:autoSpaceDN w:val="0"/>
              <w:adjustRightInd w:val="0"/>
              <w:ind w:firstLine="180"/>
              <w:rPr>
                <w:rFonts w:ascii="Courier New CYR" w:hAnsi="Courier New CYR" w:cs="Courier New CYR"/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rFonts w:ascii="Times New Roman CYR" w:hAnsi="Times New Roman CYR" w:cs="Times New Roman CYR"/>
                <w:color w:val="000000"/>
                <w:sz w:val="21"/>
                <w:szCs w:val="21"/>
                <w:lang w:bidi="ar-SA"/>
              </w:rPr>
              <w:t>1.4. Идентификационный номер налогоплательщика (ИНН) эмитента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1"/>
                <w:szCs w:val="21"/>
                <w:lang w:bidi="ar-SA"/>
              </w:rPr>
            </w:pPr>
            <w:r w:rsidRPr="002E0B77">
              <w:rPr>
                <w:b/>
                <w:bCs/>
                <w:i/>
                <w:iCs/>
                <w:sz w:val="21"/>
                <w:szCs w:val="21"/>
                <w:lang w:bidi="ar-SA"/>
              </w:rPr>
              <w:t>7714716995</w:t>
            </w:r>
          </w:p>
        </w:tc>
      </w:tr>
      <w:tr w:rsidR="00AE4560" w:rsidRPr="002E0B77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suppressAutoHyphens w:val="0"/>
              <w:autoSpaceDE w:val="0"/>
              <w:autoSpaceDN w:val="0"/>
              <w:adjustRightInd w:val="0"/>
              <w:ind w:firstLine="38"/>
              <w:rPr>
                <w:rFonts w:ascii="Courier New CYR" w:hAnsi="Courier New CYR" w:cs="Courier New CYR"/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rFonts w:ascii="Times New Roman CYR" w:hAnsi="Times New Roman CYR" w:cs="Times New Roman CYR"/>
                <w:color w:val="000000"/>
                <w:sz w:val="21"/>
                <w:szCs w:val="21"/>
                <w:lang w:bidi="ar-SA"/>
              </w:rPr>
              <w:t xml:space="preserve">  1.5. Уникальный   код   эмитента, присвоенный Банком России                                 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1"/>
                <w:szCs w:val="21"/>
                <w:lang w:bidi="ar-SA"/>
              </w:rPr>
            </w:pPr>
            <w:r w:rsidRPr="002E0B77">
              <w:rPr>
                <w:b/>
                <w:bCs/>
                <w:i/>
                <w:iCs/>
                <w:sz w:val="21"/>
                <w:szCs w:val="21"/>
                <w:lang w:bidi="ar-SA"/>
              </w:rPr>
              <w:t>12689-А</w:t>
            </w:r>
          </w:p>
        </w:tc>
      </w:tr>
      <w:tr w:rsidR="00AE4560" w:rsidRPr="002E0B77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4560" w:rsidRPr="002E0B77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color w:val="000000"/>
                <w:sz w:val="21"/>
                <w:szCs w:val="21"/>
                <w:lang w:bidi="ar-SA"/>
              </w:rPr>
              <w:t xml:space="preserve">  1.6. Адрес страницы в сети Интернет, и</w:t>
            </w:r>
            <w:r w:rsidRPr="002E0B77">
              <w:rPr>
                <w:color w:val="000000"/>
                <w:sz w:val="21"/>
                <w:szCs w:val="21"/>
                <w:lang w:val="en-US" w:bidi="ar-SA"/>
              </w:rPr>
              <w:t>c</w:t>
            </w:r>
            <w:r w:rsidRPr="002E0B77">
              <w:rPr>
                <w:color w:val="000000"/>
                <w:sz w:val="21"/>
                <w:szCs w:val="21"/>
                <w:lang w:bidi="ar-SA"/>
              </w:rPr>
              <w:t xml:space="preserve">пользуемой   эмитентом для раскрытия информации          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4560" w:rsidRPr="002E0B77" w:rsidRDefault="00AE4560" w:rsidP="0034496B">
            <w:pPr>
              <w:widowControl/>
              <w:suppressAutoHyphens w:val="0"/>
              <w:ind w:left="57" w:right="57"/>
              <w:rPr>
                <w:b/>
                <w:bCs/>
                <w:i/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b/>
                <w:bCs/>
                <w:i/>
                <w:color w:val="000000"/>
                <w:sz w:val="21"/>
                <w:szCs w:val="21"/>
                <w:lang w:val="en-US" w:bidi="ar-SA"/>
              </w:rPr>
              <w:t>http</w:t>
            </w:r>
            <w:r w:rsidRPr="002E0B77">
              <w:rPr>
                <w:b/>
                <w:bCs/>
                <w:i/>
                <w:color w:val="000000"/>
                <w:sz w:val="21"/>
                <w:szCs w:val="21"/>
                <w:lang w:bidi="ar-SA"/>
              </w:rPr>
              <w:t>://</w:t>
            </w:r>
            <w:r w:rsidRPr="002E0B77">
              <w:rPr>
                <w:b/>
                <w:bCs/>
                <w:i/>
                <w:color w:val="000000"/>
                <w:sz w:val="21"/>
                <w:szCs w:val="21"/>
                <w:lang w:val="en-US" w:bidi="ar-SA"/>
              </w:rPr>
              <w:t>w</w:t>
            </w:r>
            <w:hyperlink r:id="rId5" w:history="1">
              <w:r w:rsidRPr="002E0B77">
                <w:rPr>
                  <w:b/>
                  <w:i/>
                  <w:color w:val="000000"/>
                  <w:sz w:val="21"/>
                  <w:szCs w:val="21"/>
                  <w:lang w:eastAsia="x-none" w:bidi="ar-SA"/>
                </w:rPr>
                <w:t>ww.oaonsv.ru</w:t>
              </w:r>
            </w:hyperlink>
            <w:r w:rsidRPr="002E0B77">
              <w:rPr>
                <w:b/>
                <w:bCs/>
                <w:i/>
                <w:color w:val="000000"/>
                <w:sz w:val="21"/>
                <w:szCs w:val="21"/>
                <w:lang w:bidi="ar-SA"/>
              </w:rPr>
              <w:t xml:space="preserve"> </w:t>
            </w:r>
          </w:p>
          <w:p w:rsidR="00AE4560" w:rsidRPr="002E0B77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color w:val="000000"/>
                <w:sz w:val="21"/>
                <w:szCs w:val="21"/>
                <w:lang w:bidi="ar-SA"/>
              </w:rPr>
            </w:pPr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http</w:t>
            </w:r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://</w:t>
            </w:r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www</w:t>
            </w:r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.</w:t>
            </w:r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e</w:t>
            </w:r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-</w:t>
            </w:r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disclosure</w:t>
            </w:r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.</w:t>
            </w:r>
            <w:proofErr w:type="spellStart"/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ru</w:t>
            </w:r>
            <w:proofErr w:type="spellEnd"/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/</w:t>
            </w:r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portal</w:t>
            </w:r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/</w:t>
            </w:r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company</w:t>
            </w:r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.</w:t>
            </w:r>
            <w:proofErr w:type="spellStart"/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aspx</w:t>
            </w:r>
            <w:proofErr w:type="spellEnd"/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?</w:t>
            </w:r>
            <w:r w:rsidRPr="002E0B77">
              <w:rPr>
                <w:b/>
                <w:i/>
                <w:color w:val="000000"/>
                <w:sz w:val="21"/>
                <w:szCs w:val="21"/>
                <w:lang w:val="en-US" w:bidi="ar-SA"/>
              </w:rPr>
              <w:t>id</w:t>
            </w:r>
            <w:r w:rsidRPr="002E0B77">
              <w:rPr>
                <w:b/>
                <w:i/>
                <w:color w:val="000000"/>
                <w:sz w:val="21"/>
                <w:szCs w:val="21"/>
                <w:lang w:bidi="ar-SA"/>
              </w:rPr>
              <w:t>=20639</w:t>
            </w:r>
          </w:p>
        </w:tc>
      </w:tr>
      <w:tr w:rsidR="00AE4560" w:rsidRPr="002E0B77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96"/>
        </w:trPr>
        <w:tc>
          <w:tcPr>
            <w:tcW w:w="6238" w:type="dxa"/>
          </w:tcPr>
          <w:p w:rsidR="00AE4560" w:rsidRPr="002E0B77" w:rsidRDefault="00AE4560" w:rsidP="0034496B">
            <w:pPr>
              <w:widowControl/>
              <w:suppressAutoHyphens w:val="0"/>
              <w:rPr>
                <w:sz w:val="21"/>
                <w:szCs w:val="21"/>
                <w:lang w:bidi="ar-SA"/>
              </w:rPr>
            </w:pPr>
            <w:r w:rsidRPr="002E0B77">
              <w:rPr>
                <w:sz w:val="21"/>
                <w:szCs w:val="21"/>
                <w:lang w:bidi="ar-SA"/>
              </w:rPr>
              <w:t>1.7. Дата наступления события, о котором составлено сообщение</w:t>
            </w:r>
          </w:p>
        </w:tc>
        <w:tc>
          <w:tcPr>
            <w:tcW w:w="4536" w:type="dxa"/>
            <w:gridSpan w:val="2"/>
          </w:tcPr>
          <w:p w:rsidR="00AE4560" w:rsidRPr="002E0B77" w:rsidRDefault="002E0B77" w:rsidP="0034496B">
            <w:pPr>
              <w:widowControl/>
              <w:suppressAutoHyphens w:val="0"/>
              <w:ind w:right="57"/>
              <w:rPr>
                <w:b/>
                <w:i/>
                <w:sz w:val="21"/>
                <w:szCs w:val="21"/>
                <w:lang w:bidi="ar-SA"/>
              </w:rPr>
            </w:pPr>
            <w:r w:rsidRPr="002E0B77">
              <w:rPr>
                <w:b/>
                <w:i/>
                <w:sz w:val="21"/>
                <w:szCs w:val="21"/>
                <w:lang w:bidi="ar-SA"/>
              </w:rPr>
              <w:t>23</w:t>
            </w:r>
            <w:r w:rsidR="00AE4560" w:rsidRPr="002E0B77">
              <w:rPr>
                <w:b/>
                <w:i/>
                <w:sz w:val="21"/>
                <w:szCs w:val="21"/>
                <w:lang w:bidi="ar-SA"/>
              </w:rPr>
              <w:t>.0</w:t>
            </w:r>
            <w:r w:rsidRPr="002E0B77">
              <w:rPr>
                <w:b/>
                <w:i/>
                <w:sz w:val="21"/>
                <w:szCs w:val="21"/>
                <w:lang w:bidi="ar-SA"/>
              </w:rPr>
              <w:t>9</w:t>
            </w:r>
            <w:r w:rsidR="00AE4560" w:rsidRPr="002E0B77">
              <w:rPr>
                <w:b/>
                <w:i/>
                <w:sz w:val="21"/>
                <w:szCs w:val="21"/>
                <w:lang w:bidi="ar-SA"/>
              </w:rPr>
              <w:t>.2022 г.</w:t>
            </w:r>
          </w:p>
        </w:tc>
      </w:tr>
      <w:tr w:rsidR="002B5C71" w:rsidRPr="002E0B77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80"/>
        </w:trPr>
        <w:tc>
          <w:tcPr>
            <w:tcW w:w="10774" w:type="dxa"/>
            <w:gridSpan w:val="3"/>
            <w:shd w:val="clear" w:color="auto" w:fill="auto"/>
          </w:tcPr>
          <w:p w:rsidR="002B5C71" w:rsidRPr="002E0B77" w:rsidRDefault="002B5C71" w:rsidP="0097237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1"/>
                <w:szCs w:val="21"/>
              </w:rPr>
            </w:pPr>
            <w:r w:rsidRPr="002E0B77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1"/>
                <w:szCs w:val="21"/>
              </w:rPr>
              <w:t>2. Содержание сообщения</w:t>
            </w:r>
          </w:p>
        </w:tc>
      </w:tr>
      <w:tr w:rsidR="008A54C2" w:rsidRPr="002E0B77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80"/>
        </w:trPr>
        <w:tc>
          <w:tcPr>
            <w:tcW w:w="10774" w:type="dxa"/>
            <w:gridSpan w:val="3"/>
            <w:shd w:val="clear" w:color="auto" w:fill="auto"/>
          </w:tcPr>
          <w:p w:rsidR="00FD0FF4" w:rsidRPr="00FD0FF4" w:rsidRDefault="00FD0FF4" w:rsidP="00FD0FF4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2.1. О</w:t>
            </w:r>
            <w:r w:rsidRPr="00FD0FF4">
              <w:rPr>
                <w:color w:val="000000"/>
                <w:sz w:val="21"/>
                <w:szCs w:val="21"/>
              </w:rPr>
              <w:t>рган управления эмитента, принявший решение о размещении ценных бумаг</w:t>
            </w:r>
            <w:r>
              <w:rPr>
                <w:color w:val="000000"/>
                <w:sz w:val="21"/>
                <w:szCs w:val="21"/>
              </w:rPr>
              <w:t xml:space="preserve">: </w:t>
            </w:r>
            <w:r w:rsidRPr="00FD0FF4">
              <w:rPr>
                <w:b/>
                <w:i/>
                <w:color w:val="000000"/>
                <w:sz w:val="21"/>
                <w:szCs w:val="21"/>
              </w:rPr>
              <w:t>Общее собрание акционеров ПАО «Наука-Связь».</w:t>
            </w:r>
          </w:p>
          <w:p w:rsidR="00FD0FF4" w:rsidRPr="00FD0FF4" w:rsidRDefault="00FD0FF4" w:rsidP="00FD0FF4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2.2. В</w:t>
            </w:r>
            <w:r w:rsidRPr="00FD0FF4">
              <w:rPr>
                <w:color w:val="000000"/>
                <w:sz w:val="21"/>
                <w:szCs w:val="21"/>
              </w:rPr>
              <w:t>ид общего собрания (годовое (очередное), внеочередное) в случае, если органом управления эмитента, принявшим решение о размещении ценных бумаг, является общее собрание участников (акционеров) эмитента, а также форма проведения общего собрания участников (акционеров) эмитента (собрание (совместное присутствие) или заочное голосование)</w:t>
            </w:r>
            <w:r>
              <w:rPr>
                <w:color w:val="000000"/>
                <w:sz w:val="21"/>
                <w:szCs w:val="21"/>
              </w:rPr>
              <w:t xml:space="preserve">: </w:t>
            </w:r>
            <w:r w:rsidRPr="00FD0FF4">
              <w:rPr>
                <w:b/>
                <w:i/>
                <w:color w:val="000000"/>
                <w:sz w:val="21"/>
                <w:szCs w:val="21"/>
              </w:rPr>
              <w:t>вид общего собрания – внеочередное, форма проведения – заочное голосование.</w:t>
            </w:r>
          </w:p>
          <w:p w:rsidR="00FD0FF4" w:rsidRPr="00FD0FF4" w:rsidRDefault="00FD0FF4" w:rsidP="00FD0FF4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2.3. Д</w:t>
            </w:r>
            <w:r w:rsidRPr="00FD0FF4">
              <w:rPr>
                <w:color w:val="000000"/>
                <w:sz w:val="21"/>
                <w:szCs w:val="21"/>
              </w:rPr>
              <w:t>ата принятия уполномоченным органом управления эмитента решения о размещении ценных бумаг</w:t>
            </w:r>
            <w:r>
              <w:rPr>
                <w:color w:val="000000"/>
                <w:sz w:val="21"/>
                <w:szCs w:val="21"/>
              </w:rPr>
              <w:t xml:space="preserve">: </w:t>
            </w:r>
            <w:r w:rsidRPr="00FD0FF4">
              <w:rPr>
                <w:b/>
                <w:i/>
                <w:color w:val="000000"/>
                <w:sz w:val="21"/>
                <w:szCs w:val="21"/>
              </w:rPr>
              <w:t>20.09</w:t>
            </w:r>
            <w:r w:rsidR="00C941C4">
              <w:rPr>
                <w:b/>
                <w:i/>
                <w:color w:val="000000"/>
                <w:sz w:val="21"/>
                <w:szCs w:val="21"/>
              </w:rPr>
              <w:t>.</w:t>
            </w:r>
            <w:r w:rsidRPr="00FD0FF4">
              <w:rPr>
                <w:b/>
                <w:i/>
                <w:color w:val="000000"/>
                <w:sz w:val="21"/>
                <w:szCs w:val="21"/>
              </w:rPr>
              <w:t>2022 г.</w:t>
            </w:r>
          </w:p>
          <w:p w:rsidR="00FD0FF4" w:rsidRPr="00FD0FF4" w:rsidRDefault="00FD0FF4" w:rsidP="00FD0FF4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2.4. Д</w:t>
            </w:r>
            <w:r w:rsidRPr="00FD0FF4">
              <w:rPr>
                <w:color w:val="000000"/>
                <w:sz w:val="21"/>
                <w:szCs w:val="21"/>
              </w:rPr>
              <w:t>ата и место проведения собрания (заседания) уполномоченного органа управления эмитента, на котором принято решение о размещении ценных бумаг</w:t>
            </w:r>
            <w:r>
              <w:rPr>
                <w:color w:val="000000"/>
                <w:sz w:val="21"/>
                <w:szCs w:val="21"/>
              </w:rPr>
              <w:t xml:space="preserve">: </w:t>
            </w:r>
            <w:r w:rsidRPr="00FD0FF4">
              <w:rPr>
                <w:b/>
                <w:i/>
                <w:iCs/>
                <w:color w:val="000000"/>
                <w:sz w:val="21"/>
                <w:szCs w:val="21"/>
              </w:rPr>
              <w:t xml:space="preserve">дата проведения общего собрания (дата окончания приема заполненных бюллетеней): «20» сентября 2022г., </w:t>
            </w:r>
            <w:r w:rsidRPr="00FD0FF4">
              <w:rPr>
                <w:b/>
                <w:bCs/>
                <w:i/>
                <w:iCs/>
                <w:color w:val="000000"/>
                <w:sz w:val="21"/>
                <w:szCs w:val="21"/>
              </w:rPr>
              <w:t>почтовый адрес, по которому направлялись заполненные бюллетени: Российская Федерация, 127287, г. Москва, 2-я Хуторская ул., д.38А., строение 15, ПАО «Наука-Связь».</w:t>
            </w:r>
          </w:p>
          <w:p w:rsidR="00FD0FF4" w:rsidRPr="00FD0FF4" w:rsidRDefault="00FD0FF4" w:rsidP="00FD0FF4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2.5. Д</w:t>
            </w:r>
            <w:r w:rsidRPr="00FD0FF4">
              <w:rPr>
                <w:color w:val="000000"/>
                <w:sz w:val="21"/>
                <w:szCs w:val="21"/>
              </w:rPr>
              <w:t>ата составления и номер протокола собрания (заседания) уполномоченного органа управления эмитента, на котором принято решение о размещении ценных бумаг</w:t>
            </w:r>
            <w:r>
              <w:rPr>
                <w:color w:val="000000"/>
                <w:sz w:val="21"/>
                <w:szCs w:val="21"/>
              </w:rPr>
              <w:t xml:space="preserve">: </w:t>
            </w:r>
            <w:r w:rsidRPr="00FD0FF4">
              <w:rPr>
                <w:b/>
                <w:i/>
                <w:color w:val="000000"/>
                <w:sz w:val="21"/>
                <w:szCs w:val="21"/>
              </w:rPr>
              <w:t>протокол №04/22 от 23.09.2022г.</w:t>
            </w:r>
          </w:p>
          <w:p w:rsidR="00FD0FF4" w:rsidRDefault="00FD0FF4" w:rsidP="00FD0FF4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2.6. </w:t>
            </w:r>
            <w:r w:rsidRPr="00C86D4D">
              <w:rPr>
                <w:color w:val="000000"/>
                <w:sz w:val="21"/>
                <w:szCs w:val="21"/>
              </w:rPr>
              <w:t>Сведения о наличии кворума и о результатах голосования по вопросу о принятии решения о размещении ценных бумаг: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C86D4D" w:rsidRPr="00C86D4D" w:rsidRDefault="00C86D4D" w:rsidP="00C86D4D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1"/>
                <w:szCs w:val="21"/>
              </w:rPr>
            </w:pPr>
            <w:r w:rsidRPr="00C86D4D">
              <w:rPr>
                <w:color w:val="000000"/>
                <w:sz w:val="21"/>
                <w:szCs w:val="21"/>
              </w:rPr>
              <w:t xml:space="preserve">Сведения о кворуме по вопросу о принятии решения о размещении ценных бумаг: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C86D4D" w:rsidRPr="00C86D4D" w:rsidTr="00F931FB">
              <w:trPr>
                <w:cantSplit/>
              </w:trPr>
              <w:tc>
                <w:tcPr>
                  <w:tcW w:w="7487" w:type="dxa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color w:val="000000"/>
                      <w:sz w:val="21"/>
                      <w:szCs w:val="21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1"/>
                      <w:szCs w:val="21"/>
                      <w:lang w:val="en-US"/>
                    </w:rPr>
                  </w:pPr>
                  <w:r w:rsidRPr="00C86D4D">
                    <w:rPr>
                      <w:color w:val="000000"/>
                      <w:sz w:val="21"/>
                      <w:szCs w:val="21"/>
                      <w:lang w:val="en-US"/>
                    </w:rPr>
                    <w:t>4 701 562</w:t>
                  </w:r>
                </w:p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1"/>
                      <w:szCs w:val="21"/>
                      <w:lang w:val="en-US"/>
                    </w:rPr>
                  </w:pPr>
                </w:p>
              </w:tc>
            </w:tr>
            <w:tr w:rsidR="00C86D4D" w:rsidRPr="00C86D4D" w:rsidTr="00F931FB">
              <w:trPr>
                <w:cantSplit/>
              </w:trPr>
              <w:tc>
                <w:tcPr>
                  <w:tcW w:w="7487" w:type="dxa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color w:val="000000"/>
                      <w:sz w:val="21"/>
                      <w:szCs w:val="21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1"/>
                      <w:szCs w:val="21"/>
                      <w:lang w:val="en-US"/>
                    </w:rPr>
                  </w:pPr>
                  <w:r w:rsidRPr="00C86D4D">
                    <w:rPr>
                      <w:color w:val="000000"/>
                      <w:sz w:val="21"/>
                      <w:szCs w:val="21"/>
                      <w:lang w:val="en-US"/>
                    </w:rPr>
                    <w:t>4 701 562</w:t>
                  </w:r>
                </w:p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1"/>
                      <w:szCs w:val="21"/>
                      <w:lang w:val="en-US"/>
                    </w:rPr>
                  </w:pPr>
                </w:p>
              </w:tc>
            </w:tr>
            <w:tr w:rsidR="00C86D4D" w:rsidRPr="00C86D4D" w:rsidTr="00F931FB">
              <w:trPr>
                <w:cantSplit/>
              </w:trPr>
              <w:tc>
                <w:tcPr>
                  <w:tcW w:w="7487" w:type="dxa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color w:val="000000"/>
                      <w:sz w:val="21"/>
                      <w:szCs w:val="21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color w:val="000000"/>
                      <w:sz w:val="21"/>
                      <w:szCs w:val="21"/>
                    </w:rPr>
                    <w:t>3 539 507</w:t>
                  </w:r>
                </w:p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C86D4D" w:rsidRPr="00C86D4D" w:rsidTr="00F931FB">
              <w:trPr>
                <w:cantSplit/>
              </w:trPr>
              <w:tc>
                <w:tcPr>
                  <w:tcW w:w="7487" w:type="dxa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>есть (75,28%)</w:t>
                  </w:r>
                </w:p>
              </w:tc>
            </w:tr>
          </w:tbl>
          <w:p w:rsidR="00C86D4D" w:rsidRPr="00C86D4D" w:rsidRDefault="00C86D4D" w:rsidP="00C86D4D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Сведения о </w:t>
            </w:r>
            <w:r w:rsidRPr="00C86D4D">
              <w:rPr>
                <w:color w:val="000000"/>
                <w:sz w:val="21"/>
                <w:szCs w:val="21"/>
              </w:rPr>
              <w:t>результатах голосования по вопр</w:t>
            </w:r>
            <w:bookmarkStart w:id="5" w:name="_GoBack"/>
            <w:bookmarkEnd w:id="5"/>
            <w:r w:rsidRPr="00C86D4D">
              <w:rPr>
                <w:color w:val="000000"/>
                <w:sz w:val="21"/>
                <w:szCs w:val="21"/>
              </w:rPr>
              <w:t xml:space="preserve">осу о принятии решения о размещении ценных бумаг: 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C86D4D" w:rsidRPr="00C86D4D" w:rsidTr="00F931FB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  <w:proofErr w:type="spellStart"/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>Недейств</w:t>
                  </w:r>
                  <w:proofErr w:type="spellEnd"/>
                  <w:proofErr w:type="gramStart"/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>.</w:t>
                  </w:r>
                  <w:proofErr w:type="gramEnd"/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 xml:space="preserve"> и </w:t>
                  </w:r>
                </w:p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>Не голосовали</w:t>
                  </w:r>
                </w:p>
              </w:tc>
            </w:tr>
            <w:tr w:rsidR="00C86D4D" w:rsidRPr="00C86D4D" w:rsidTr="00F931FB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color w:val="000000"/>
                      <w:sz w:val="21"/>
                      <w:szCs w:val="21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>3 539 507</w:t>
                  </w:r>
                </w:p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>3 539 507</w:t>
                  </w:r>
                </w:p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>0</w:t>
                  </w:r>
                </w:p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>0</w:t>
                  </w:r>
                </w:p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>0</w:t>
                  </w:r>
                </w:p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>0</w:t>
                  </w:r>
                </w:p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C86D4D" w:rsidRPr="00C86D4D" w:rsidTr="00F931FB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color w:val="000000"/>
                      <w:sz w:val="21"/>
                      <w:szCs w:val="21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C86D4D" w:rsidRPr="00C86D4D" w:rsidRDefault="00C86D4D" w:rsidP="00C86D4D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C86D4D">
                    <w:rPr>
                      <w:b/>
                      <w:color w:val="000000"/>
                      <w:sz w:val="21"/>
                      <w:szCs w:val="21"/>
                    </w:rPr>
                    <w:t>0,00</w:t>
                  </w:r>
                </w:p>
              </w:tc>
            </w:tr>
          </w:tbl>
          <w:p w:rsidR="00FD0FF4" w:rsidRDefault="00FD0FF4" w:rsidP="00FD0FF4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2.7. П</w:t>
            </w:r>
            <w:r w:rsidRPr="00FD0FF4">
              <w:rPr>
                <w:color w:val="000000"/>
                <w:sz w:val="21"/>
                <w:szCs w:val="21"/>
              </w:rPr>
              <w:t>олная формулировка принятого решения о размещении ценных бумаг</w:t>
            </w:r>
            <w:r>
              <w:rPr>
                <w:color w:val="000000"/>
                <w:sz w:val="21"/>
                <w:szCs w:val="21"/>
              </w:rPr>
              <w:t>:</w:t>
            </w:r>
          </w:p>
          <w:p w:rsidR="00FD0FF4" w:rsidRPr="00FD0FF4" w:rsidRDefault="00FD0FF4" w:rsidP="00FD0FF4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FD0FF4">
              <w:rPr>
                <w:b/>
                <w:bCs/>
                <w:i/>
                <w:color w:val="000000"/>
                <w:sz w:val="21"/>
                <w:szCs w:val="21"/>
              </w:rPr>
              <w:t xml:space="preserve">1.Увеличить уставный капитал ПАО «Наука-Связь» на 11 000 000 (Одиннадцать миллионов) рублей путем размещения дополнительных акций обыкновенных в количестве 11 000 000 (Одиннадцать миллионов) штук </w:t>
            </w:r>
            <w:r w:rsidRPr="00FD0FF4">
              <w:rPr>
                <w:b/>
                <w:bCs/>
                <w:i/>
                <w:color w:val="000000"/>
                <w:sz w:val="21"/>
                <w:szCs w:val="21"/>
              </w:rPr>
              <w:lastRenderedPageBreak/>
              <w:t>номинальной стоимостью 1 (один) рубль каждая на следующих условиях:</w:t>
            </w:r>
          </w:p>
          <w:p w:rsidR="00FD0FF4" w:rsidRPr="00FD0FF4" w:rsidRDefault="00FD0FF4" w:rsidP="00FD0FF4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FD0FF4">
              <w:rPr>
                <w:b/>
                <w:bCs/>
                <w:i/>
                <w:color w:val="000000"/>
                <w:sz w:val="21"/>
                <w:szCs w:val="21"/>
              </w:rPr>
              <w:t>вид, категория (тип) размещаемых ценных бумаг - акции обыкновенные;</w:t>
            </w:r>
            <w:r w:rsidRPr="00FD0FF4">
              <w:rPr>
                <w:b/>
                <w:bCs/>
                <w:i/>
                <w:color w:val="000000"/>
                <w:sz w:val="21"/>
                <w:szCs w:val="21"/>
              </w:rPr>
              <w:br/>
              <w:t>общее количество размещаемых дополнительных акций обыкновенных – 11 000 000 (Одиннадцать  миллионов)  штук (в пределах количества объявленных акций);</w:t>
            </w:r>
          </w:p>
          <w:p w:rsidR="00FD0FF4" w:rsidRPr="00FD0FF4" w:rsidRDefault="00FD0FF4" w:rsidP="00FD0FF4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FD0FF4">
              <w:rPr>
                <w:b/>
                <w:bCs/>
                <w:i/>
                <w:color w:val="000000"/>
                <w:sz w:val="21"/>
                <w:szCs w:val="21"/>
              </w:rPr>
              <w:t>номинальная стоимость одной размещаемой дополнительной акции обыкновенной – 1 (Один) рубль;</w:t>
            </w:r>
          </w:p>
          <w:p w:rsidR="00FD0FF4" w:rsidRPr="00FD0FF4" w:rsidRDefault="00FD0FF4" w:rsidP="00FD0FF4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FD0FF4">
              <w:rPr>
                <w:b/>
                <w:bCs/>
                <w:i/>
                <w:color w:val="000000"/>
                <w:sz w:val="21"/>
                <w:szCs w:val="21"/>
              </w:rPr>
              <w:t>цена размещения дополнительных акций (в том числе при осуществлении преимущественного права приобретения дополнительных акций) будет установлена Советом директоров Общества после окончания срока действия преимущественного права приобретения дополнительных акций и не позднее начала размещения дополнительных акций.</w:t>
            </w:r>
          </w:p>
          <w:p w:rsidR="00FD0FF4" w:rsidRPr="00FD0FF4" w:rsidRDefault="00FD0FF4" w:rsidP="00FD0FF4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FD0FF4">
              <w:rPr>
                <w:b/>
                <w:bCs/>
                <w:i/>
                <w:color w:val="000000"/>
                <w:sz w:val="21"/>
                <w:szCs w:val="21"/>
              </w:rPr>
              <w:t>способ размещения – открытая подписка.</w:t>
            </w:r>
          </w:p>
          <w:p w:rsidR="00FD0FF4" w:rsidRPr="00FD0FF4" w:rsidRDefault="00FD0FF4" w:rsidP="00FD0FF4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FD0FF4">
              <w:rPr>
                <w:b/>
                <w:bCs/>
                <w:i/>
                <w:color w:val="000000"/>
                <w:sz w:val="21"/>
                <w:szCs w:val="21"/>
              </w:rPr>
              <w:t>2. Форма оплаты размещаемых дополнительных обыкновенных акций: оплата неденежными средствами (ценными бумагами, вещами или имущественными правами либо иными правами, имеющими денежную оценку) и (или) денежными средствами в валюте Российской Федерации в безналичном порядке. Дополнительные ценные бумаги оплачиваются приобретателями при их размещении в полном объеме. Возможность рассрочки оплаты размещаемых ценных бумаг не предусмотрена.</w:t>
            </w:r>
          </w:p>
          <w:p w:rsidR="00FD0FF4" w:rsidRPr="00FD0FF4" w:rsidRDefault="00FD0FF4" w:rsidP="00FD0FF4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FD0FF4">
              <w:rPr>
                <w:b/>
                <w:bCs/>
                <w:i/>
                <w:color w:val="000000"/>
                <w:sz w:val="21"/>
                <w:szCs w:val="21"/>
              </w:rPr>
              <w:t>3. Оплату расходов, связанных с внесением приходных записей о зачислении размещаемых ценных бумаг на лицевые счета (счета депо) их первых владельцев (приобретателей), несет эмитент ценных бумаг.</w:t>
            </w:r>
          </w:p>
          <w:p w:rsidR="00FD0FF4" w:rsidRPr="00FD0FF4" w:rsidRDefault="00FD0FF4" w:rsidP="00FD0FF4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1"/>
                <w:szCs w:val="21"/>
              </w:rPr>
            </w:pPr>
            <w:r w:rsidRPr="00FD0FF4">
              <w:rPr>
                <w:b/>
                <w:bCs/>
                <w:i/>
                <w:color w:val="000000"/>
                <w:sz w:val="21"/>
                <w:szCs w:val="21"/>
              </w:rPr>
              <w:t>4. Все дополнительные обыкновенные акции ПАО «Наука-Связь» размещаются при условии их полной оплаты</w:t>
            </w:r>
          </w:p>
          <w:p w:rsidR="00FD0FF4" w:rsidRPr="00FD0FF4" w:rsidRDefault="00FD0FF4" w:rsidP="00FD0FF4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1"/>
                <w:szCs w:val="21"/>
                <w:highlight w:val="yellow"/>
              </w:rPr>
            </w:pPr>
            <w:r w:rsidRPr="00C941C4">
              <w:rPr>
                <w:color w:val="000000"/>
                <w:sz w:val="21"/>
                <w:szCs w:val="21"/>
              </w:rPr>
              <w:t>2.8. В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</w:t>
            </w:r>
            <w:r w:rsidR="00C941C4" w:rsidRPr="00C941C4">
              <w:rPr>
                <w:color w:val="000000"/>
                <w:sz w:val="21"/>
                <w:szCs w:val="21"/>
              </w:rPr>
              <w:t xml:space="preserve">: </w:t>
            </w:r>
            <w:r w:rsidR="00C941C4">
              <w:rPr>
                <w:b/>
                <w:i/>
                <w:color w:val="000000"/>
                <w:sz w:val="21"/>
                <w:szCs w:val="21"/>
              </w:rPr>
              <w:t>п</w:t>
            </w:r>
            <w:r w:rsidR="00C941C4" w:rsidRPr="00C941C4">
              <w:rPr>
                <w:b/>
                <w:i/>
                <w:color w:val="000000"/>
                <w:sz w:val="21"/>
                <w:szCs w:val="21"/>
              </w:rPr>
              <w:t xml:space="preserve">реимущественное право приобретения дополнительных </w:t>
            </w:r>
            <w:r w:rsidR="00C941C4">
              <w:rPr>
                <w:b/>
                <w:i/>
                <w:color w:val="000000"/>
                <w:sz w:val="21"/>
                <w:szCs w:val="21"/>
              </w:rPr>
              <w:t>а</w:t>
            </w:r>
            <w:r w:rsidR="00C941C4" w:rsidRPr="00C941C4">
              <w:rPr>
                <w:b/>
                <w:i/>
                <w:color w:val="000000"/>
                <w:sz w:val="21"/>
                <w:szCs w:val="21"/>
              </w:rPr>
              <w:t xml:space="preserve">кций имеют лица, являющиеся акционерами Эмитента на «29» августа 2022 г. (дата определения (фиксации) лиц, имеющих право на участие во внеочередном общем собрании акционеров Общества, на котором было принято решение о размещении </w:t>
            </w:r>
            <w:r w:rsidR="00C941C4">
              <w:rPr>
                <w:b/>
                <w:i/>
                <w:color w:val="000000"/>
                <w:sz w:val="21"/>
                <w:szCs w:val="21"/>
              </w:rPr>
              <w:t>акций</w:t>
            </w:r>
            <w:r w:rsidR="00C941C4" w:rsidRPr="00C941C4">
              <w:rPr>
                <w:b/>
                <w:i/>
                <w:color w:val="000000"/>
                <w:sz w:val="21"/>
                <w:szCs w:val="21"/>
              </w:rPr>
              <w:t>)</w:t>
            </w:r>
            <w:r w:rsidRPr="00C941C4">
              <w:rPr>
                <w:b/>
                <w:i/>
                <w:color w:val="000000"/>
                <w:sz w:val="21"/>
                <w:szCs w:val="21"/>
              </w:rPr>
              <w:t>;</w:t>
            </w:r>
          </w:p>
          <w:p w:rsidR="00FD0FF4" w:rsidRDefault="00C941C4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1"/>
                <w:szCs w:val="21"/>
              </w:rPr>
            </w:pPr>
            <w:r w:rsidRPr="00C941C4">
              <w:rPr>
                <w:color w:val="000000"/>
                <w:sz w:val="21"/>
                <w:szCs w:val="21"/>
              </w:rPr>
              <w:t>2.9.С</w:t>
            </w:r>
            <w:r w:rsidR="00FD0FF4" w:rsidRPr="00C941C4">
              <w:rPr>
                <w:color w:val="000000"/>
                <w:sz w:val="21"/>
                <w:szCs w:val="21"/>
              </w:rPr>
              <w:t xml:space="preserve">ведения о намерении эмитента осуществлять в ходе эмиссии ценных бумаг регистрацию проспекта ценных бумаг (при наличии такого намерения): </w:t>
            </w:r>
            <w:r w:rsidRPr="00C941C4">
              <w:rPr>
                <w:b/>
                <w:i/>
                <w:color w:val="000000"/>
                <w:sz w:val="21"/>
                <w:szCs w:val="21"/>
              </w:rPr>
              <w:t>не применимо.</w:t>
            </w:r>
          </w:p>
          <w:p w:rsidR="008A54C2" w:rsidRPr="002E0B77" w:rsidRDefault="00720EAE" w:rsidP="00C941C4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color w:val="000000"/>
                <w:sz w:val="21"/>
                <w:szCs w:val="21"/>
              </w:rPr>
            </w:pPr>
            <w:r w:rsidRPr="002E0B77">
              <w:rPr>
                <w:bCs/>
                <w:color w:val="000000"/>
                <w:sz w:val="21"/>
                <w:szCs w:val="21"/>
              </w:rPr>
              <w:t>2.</w:t>
            </w:r>
            <w:r w:rsidR="00C941C4">
              <w:rPr>
                <w:bCs/>
                <w:color w:val="000000"/>
                <w:sz w:val="21"/>
                <w:szCs w:val="21"/>
              </w:rPr>
              <w:t>10</w:t>
            </w:r>
            <w:r w:rsidRPr="002E0B77">
              <w:rPr>
                <w:bCs/>
                <w:color w:val="000000"/>
                <w:sz w:val="21"/>
                <w:szCs w:val="21"/>
              </w:rPr>
              <w:t>.</w:t>
            </w:r>
            <w:r w:rsidRPr="002E0B77">
              <w:rPr>
                <w:sz w:val="21"/>
                <w:szCs w:val="21"/>
              </w:rPr>
              <w:t xml:space="preserve"> </w:t>
            </w:r>
            <w:r w:rsidR="00AE4560" w:rsidRPr="002E0B77">
              <w:rPr>
                <w:bCs/>
                <w:color w:val="000000"/>
                <w:sz w:val="21"/>
                <w:szCs w:val="21"/>
              </w:rPr>
              <w:t xml:space="preserve">Вид ценных бумаг (акции), категория (тип) и иные идентификационные признаки акций, указанные в решении о выпуске таких акций, владельцы которых имеют право на участие в общем собрании акционеров эмитента: </w:t>
            </w:r>
            <w:r w:rsidR="00AE4560" w:rsidRPr="002E0B77">
              <w:rPr>
                <w:b/>
                <w:bCs/>
                <w:i/>
                <w:color w:val="000000"/>
                <w:sz w:val="21"/>
                <w:szCs w:val="21"/>
              </w:rPr>
              <w:t>акции обыкновенные, государственный регистрационный номер выпуска ценных бумаг – 1-01-12689-А от 19.12.2007г.; международный код (номер) идентификации ценных бумаг (ISIN)– RU000A0GQLB6.</w:t>
            </w:r>
          </w:p>
        </w:tc>
      </w:tr>
      <w:tr w:rsidR="008A54C2" w:rsidRPr="002E0B77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80"/>
        </w:trPr>
        <w:tc>
          <w:tcPr>
            <w:tcW w:w="10774" w:type="dxa"/>
            <w:gridSpan w:val="3"/>
            <w:shd w:val="clear" w:color="auto" w:fill="auto"/>
          </w:tcPr>
          <w:p w:rsidR="008A54C2" w:rsidRPr="002E0B77" w:rsidRDefault="008A54C2" w:rsidP="008A54C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1"/>
                <w:szCs w:val="21"/>
              </w:rPr>
            </w:pPr>
            <w:r w:rsidRPr="002E0B77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1"/>
                <w:szCs w:val="21"/>
              </w:rPr>
              <w:lastRenderedPageBreak/>
              <w:t>3. Подпись</w:t>
            </w:r>
          </w:p>
        </w:tc>
      </w:tr>
      <w:tr w:rsidR="008A54C2" w:rsidRPr="002E0B77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332"/>
        </w:trPr>
        <w:tc>
          <w:tcPr>
            <w:tcW w:w="10774" w:type="dxa"/>
            <w:gridSpan w:val="3"/>
            <w:shd w:val="clear" w:color="auto" w:fill="auto"/>
          </w:tcPr>
          <w:p w:rsidR="00720EAE" w:rsidRPr="002E0B77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1"/>
                <w:szCs w:val="21"/>
              </w:rPr>
            </w:pPr>
            <w:r w:rsidRPr="002E0B77">
              <w:rPr>
                <w:rFonts w:eastAsia="Times New Roman CYR"/>
                <w:color w:val="000000"/>
                <w:sz w:val="21"/>
                <w:szCs w:val="21"/>
              </w:rPr>
              <w:t xml:space="preserve">3.1. Генеральный директор </w:t>
            </w:r>
          </w:p>
          <w:p w:rsidR="00720EAE" w:rsidRPr="002E0B77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1"/>
                <w:szCs w:val="21"/>
              </w:rPr>
            </w:pPr>
            <w:r w:rsidRPr="002E0B77">
              <w:rPr>
                <w:rFonts w:eastAsia="Times New Roman CYR"/>
                <w:color w:val="000000"/>
                <w:sz w:val="21"/>
                <w:szCs w:val="21"/>
              </w:rPr>
              <w:t>Публичного акционерного Общества</w:t>
            </w:r>
          </w:p>
          <w:p w:rsidR="00720EAE" w:rsidRPr="002E0B77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1"/>
                <w:szCs w:val="21"/>
              </w:rPr>
            </w:pPr>
            <w:r w:rsidRPr="002E0B77">
              <w:rPr>
                <w:rFonts w:eastAsia="Times New Roman CYR"/>
                <w:color w:val="000000"/>
                <w:sz w:val="21"/>
                <w:szCs w:val="21"/>
              </w:rPr>
              <w:t xml:space="preserve">«Наука-Связь»                                                                            ______________          </w:t>
            </w:r>
            <w:proofErr w:type="spellStart"/>
            <w:r w:rsidR="00B422EA" w:rsidRPr="002E0B77">
              <w:rPr>
                <w:rFonts w:eastAsia="Times New Roman CYR"/>
                <w:color w:val="000000"/>
                <w:sz w:val="21"/>
                <w:szCs w:val="21"/>
              </w:rPr>
              <w:t>А.А.Калинин</w:t>
            </w:r>
            <w:proofErr w:type="spellEnd"/>
          </w:p>
          <w:p w:rsidR="00720EAE" w:rsidRPr="002E0B77" w:rsidRDefault="00720EAE" w:rsidP="00720EAE">
            <w:pPr>
              <w:autoSpaceDE w:val="0"/>
              <w:ind w:firstLine="709"/>
              <w:jc w:val="both"/>
              <w:rPr>
                <w:rFonts w:eastAsia="Courier New CYR"/>
                <w:color w:val="000000"/>
                <w:sz w:val="21"/>
                <w:szCs w:val="21"/>
              </w:rPr>
            </w:pPr>
          </w:p>
          <w:p w:rsidR="00720EAE" w:rsidRPr="002E0B77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1"/>
                <w:szCs w:val="21"/>
              </w:rPr>
            </w:pPr>
            <w:r w:rsidRPr="002E0B77">
              <w:rPr>
                <w:rFonts w:eastAsia="Times New Roman CYR"/>
                <w:color w:val="000000"/>
                <w:sz w:val="21"/>
                <w:szCs w:val="21"/>
              </w:rPr>
              <w:t>3.2. «</w:t>
            </w:r>
            <w:r w:rsidR="00747EDF" w:rsidRPr="002E0B77">
              <w:rPr>
                <w:rFonts w:eastAsia="Times New Roman CYR"/>
                <w:color w:val="000000"/>
                <w:sz w:val="21"/>
                <w:szCs w:val="21"/>
              </w:rPr>
              <w:t>2</w:t>
            </w:r>
            <w:r w:rsidR="002E0B77">
              <w:rPr>
                <w:rFonts w:eastAsia="Times New Roman CYR"/>
                <w:color w:val="000000"/>
                <w:sz w:val="21"/>
                <w:szCs w:val="21"/>
              </w:rPr>
              <w:t>3</w:t>
            </w:r>
            <w:r w:rsidRPr="002E0B77">
              <w:rPr>
                <w:rFonts w:eastAsia="Times New Roman CYR"/>
                <w:color w:val="000000"/>
                <w:sz w:val="21"/>
                <w:szCs w:val="21"/>
              </w:rPr>
              <w:t xml:space="preserve">» </w:t>
            </w:r>
            <w:r w:rsidR="002E0B77" w:rsidRPr="002E0B77">
              <w:rPr>
                <w:rFonts w:eastAsia="Times New Roman CYR"/>
                <w:color w:val="000000"/>
                <w:sz w:val="21"/>
                <w:szCs w:val="21"/>
              </w:rPr>
              <w:t>сентября</w:t>
            </w:r>
            <w:r w:rsidR="00FA0488" w:rsidRPr="002E0B77">
              <w:rPr>
                <w:rFonts w:eastAsia="Times New Roman CYR"/>
                <w:color w:val="000000"/>
                <w:sz w:val="21"/>
                <w:szCs w:val="21"/>
              </w:rPr>
              <w:t xml:space="preserve"> 202</w:t>
            </w:r>
            <w:r w:rsidR="00AE4560" w:rsidRPr="002E0B77">
              <w:rPr>
                <w:rFonts w:eastAsia="Times New Roman CYR"/>
                <w:color w:val="000000"/>
                <w:sz w:val="21"/>
                <w:szCs w:val="21"/>
              </w:rPr>
              <w:t>2</w:t>
            </w:r>
            <w:r w:rsidRPr="002E0B77">
              <w:rPr>
                <w:rFonts w:eastAsia="Times New Roman CYR"/>
                <w:color w:val="000000"/>
                <w:sz w:val="21"/>
                <w:szCs w:val="21"/>
              </w:rPr>
              <w:t xml:space="preserve"> г.                                                                        М.П.</w:t>
            </w:r>
          </w:p>
          <w:p w:rsidR="008A54C2" w:rsidRPr="002E0B77" w:rsidRDefault="008A54C2" w:rsidP="00720EAE">
            <w:pPr>
              <w:autoSpaceDE w:val="0"/>
              <w:jc w:val="both"/>
              <w:rPr>
                <w:rFonts w:ascii="Courier New CYR" w:eastAsia="Courier New CYR" w:hAnsi="Courier New CYR" w:cs="Courier New CYR"/>
                <w:color w:val="000000"/>
                <w:sz w:val="21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2B5C71" w:rsidRPr="002E0B77" w:rsidRDefault="002B5C71">
      <w:pPr>
        <w:autoSpaceDE w:val="0"/>
        <w:rPr>
          <w:rFonts w:ascii="Courier New CYR" w:eastAsia="Courier New CYR" w:hAnsi="Courier New CYR" w:cs="Courier New CYR"/>
          <w:color w:val="000000"/>
          <w:sz w:val="21"/>
          <w:szCs w:val="21"/>
        </w:rPr>
      </w:pPr>
    </w:p>
    <w:sectPr w:rsidR="002B5C71" w:rsidRPr="002E0B7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916"/>
    <w:multiLevelType w:val="hybridMultilevel"/>
    <w:tmpl w:val="09A68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1940"/>
    <w:multiLevelType w:val="hybridMultilevel"/>
    <w:tmpl w:val="F5FC4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134E8"/>
    <w:multiLevelType w:val="hybridMultilevel"/>
    <w:tmpl w:val="7D1ABF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52EB3"/>
    <w:multiLevelType w:val="hybridMultilevel"/>
    <w:tmpl w:val="9162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F346E8"/>
    <w:multiLevelType w:val="multilevel"/>
    <w:tmpl w:val="56B24D96"/>
    <w:lvl w:ilvl="0">
      <w:start w:val="1"/>
      <w:numFmt w:val="decimal"/>
      <w:lvlText w:val="%1."/>
      <w:lvlJc w:val="left"/>
      <w:pPr>
        <w:ind w:left="244" w:hanging="6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4026" w:hanging="720"/>
      </w:pPr>
    </w:lvl>
    <w:lvl w:ilvl="3">
      <w:start w:val="1"/>
      <w:numFmt w:val="decimal"/>
      <w:isLgl/>
      <w:lvlText w:val="%1.%2.%3.%4."/>
      <w:lvlJc w:val="left"/>
      <w:pPr>
        <w:ind w:left="6252" w:hanging="1080"/>
      </w:pPr>
    </w:lvl>
    <w:lvl w:ilvl="4">
      <w:start w:val="1"/>
      <w:numFmt w:val="decimal"/>
      <w:isLgl/>
      <w:lvlText w:val="%1.%2.%3.%4.%5."/>
      <w:lvlJc w:val="left"/>
      <w:pPr>
        <w:ind w:left="8118" w:hanging="1080"/>
      </w:pPr>
    </w:lvl>
    <w:lvl w:ilvl="5">
      <w:start w:val="1"/>
      <w:numFmt w:val="decimal"/>
      <w:isLgl/>
      <w:lvlText w:val="%1.%2.%3.%4.%5.%6."/>
      <w:lvlJc w:val="left"/>
      <w:pPr>
        <w:ind w:left="10344" w:hanging="1440"/>
      </w:pPr>
    </w:lvl>
    <w:lvl w:ilvl="6">
      <w:start w:val="1"/>
      <w:numFmt w:val="decimal"/>
      <w:isLgl/>
      <w:lvlText w:val="%1.%2.%3.%4.%5.%6.%7."/>
      <w:lvlJc w:val="left"/>
      <w:pPr>
        <w:ind w:left="12210" w:hanging="1440"/>
      </w:pPr>
    </w:lvl>
    <w:lvl w:ilvl="7">
      <w:start w:val="1"/>
      <w:numFmt w:val="decimal"/>
      <w:isLgl/>
      <w:lvlText w:val="%1.%2.%3.%4.%5.%6.%7.%8."/>
      <w:lvlJc w:val="left"/>
      <w:pPr>
        <w:ind w:left="14436" w:hanging="1800"/>
      </w:pPr>
    </w:lvl>
    <w:lvl w:ilvl="8">
      <w:start w:val="1"/>
      <w:numFmt w:val="decimal"/>
      <w:isLgl/>
      <w:lvlText w:val="%1.%2.%3.%4.%5.%6.%7.%8.%9."/>
      <w:lvlJc w:val="left"/>
      <w:pPr>
        <w:ind w:left="16662" w:hanging="2160"/>
      </w:pPr>
    </w:lvl>
  </w:abstractNum>
  <w:abstractNum w:abstractNumId="5" w15:restartNumberingAfterBreak="0">
    <w:nsid w:val="4B1E1062"/>
    <w:multiLevelType w:val="hybridMultilevel"/>
    <w:tmpl w:val="785E1EFE"/>
    <w:lvl w:ilvl="0" w:tplc="2A4E6F76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6" w15:restartNumberingAfterBreak="0">
    <w:nsid w:val="4BC74E12"/>
    <w:multiLevelType w:val="hybridMultilevel"/>
    <w:tmpl w:val="CD72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83276D"/>
    <w:multiLevelType w:val="hybridMultilevel"/>
    <w:tmpl w:val="80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589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85A32"/>
    <w:multiLevelType w:val="hybridMultilevel"/>
    <w:tmpl w:val="C90AF75C"/>
    <w:lvl w:ilvl="0" w:tplc="2250AC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E6273"/>
    <w:multiLevelType w:val="hybridMultilevel"/>
    <w:tmpl w:val="02FCD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11FB7"/>
    <w:multiLevelType w:val="multilevel"/>
    <w:tmpl w:val="56B24D96"/>
    <w:lvl w:ilvl="0">
      <w:start w:val="1"/>
      <w:numFmt w:val="decimal"/>
      <w:lvlText w:val="%1."/>
      <w:lvlJc w:val="left"/>
      <w:pPr>
        <w:ind w:left="244" w:hanging="6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4026" w:hanging="720"/>
      </w:pPr>
    </w:lvl>
    <w:lvl w:ilvl="3">
      <w:start w:val="1"/>
      <w:numFmt w:val="decimal"/>
      <w:isLgl/>
      <w:lvlText w:val="%1.%2.%3.%4."/>
      <w:lvlJc w:val="left"/>
      <w:pPr>
        <w:ind w:left="6252" w:hanging="1080"/>
      </w:pPr>
    </w:lvl>
    <w:lvl w:ilvl="4">
      <w:start w:val="1"/>
      <w:numFmt w:val="decimal"/>
      <w:isLgl/>
      <w:lvlText w:val="%1.%2.%3.%4.%5."/>
      <w:lvlJc w:val="left"/>
      <w:pPr>
        <w:ind w:left="8118" w:hanging="1080"/>
      </w:pPr>
    </w:lvl>
    <w:lvl w:ilvl="5">
      <w:start w:val="1"/>
      <w:numFmt w:val="decimal"/>
      <w:isLgl/>
      <w:lvlText w:val="%1.%2.%3.%4.%5.%6."/>
      <w:lvlJc w:val="left"/>
      <w:pPr>
        <w:ind w:left="10344" w:hanging="1440"/>
      </w:pPr>
    </w:lvl>
    <w:lvl w:ilvl="6">
      <w:start w:val="1"/>
      <w:numFmt w:val="decimal"/>
      <w:isLgl/>
      <w:lvlText w:val="%1.%2.%3.%4.%5.%6.%7."/>
      <w:lvlJc w:val="left"/>
      <w:pPr>
        <w:ind w:left="12210" w:hanging="1440"/>
      </w:pPr>
    </w:lvl>
    <w:lvl w:ilvl="7">
      <w:start w:val="1"/>
      <w:numFmt w:val="decimal"/>
      <w:isLgl/>
      <w:lvlText w:val="%1.%2.%3.%4.%5.%6.%7.%8."/>
      <w:lvlJc w:val="left"/>
      <w:pPr>
        <w:ind w:left="14436" w:hanging="1800"/>
      </w:pPr>
    </w:lvl>
    <w:lvl w:ilvl="8">
      <w:start w:val="1"/>
      <w:numFmt w:val="decimal"/>
      <w:isLgl/>
      <w:lvlText w:val="%1.%2.%3.%4.%5.%6.%7.%8.%9."/>
      <w:lvlJc w:val="left"/>
      <w:pPr>
        <w:ind w:left="16662" w:hanging="21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25A"/>
    <w:rsid w:val="000063FE"/>
    <w:rsid w:val="000262E8"/>
    <w:rsid w:val="00057957"/>
    <w:rsid w:val="00084D18"/>
    <w:rsid w:val="000958DD"/>
    <w:rsid w:val="000D7005"/>
    <w:rsid w:val="000E624D"/>
    <w:rsid w:val="000F1864"/>
    <w:rsid w:val="0013464E"/>
    <w:rsid w:val="001470F2"/>
    <w:rsid w:val="001F4593"/>
    <w:rsid w:val="00200C76"/>
    <w:rsid w:val="00205C85"/>
    <w:rsid w:val="00206952"/>
    <w:rsid w:val="00227C34"/>
    <w:rsid w:val="002563BB"/>
    <w:rsid w:val="00264CC8"/>
    <w:rsid w:val="00286573"/>
    <w:rsid w:val="002A508E"/>
    <w:rsid w:val="002B5C71"/>
    <w:rsid w:val="002E0B77"/>
    <w:rsid w:val="003019DD"/>
    <w:rsid w:val="0033798E"/>
    <w:rsid w:val="00360479"/>
    <w:rsid w:val="00367264"/>
    <w:rsid w:val="003817C2"/>
    <w:rsid w:val="00381CDF"/>
    <w:rsid w:val="003D2C97"/>
    <w:rsid w:val="003D7CFD"/>
    <w:rsid w:val="003F0F7F"/>
    <w:rsid w:val="003F6932"/>
    <w:rsid w:val="00423534"/>
    <w:rsid w:val="004718B0"/>
    <w:rsid w:val="00481C5B"/>
    <w:rsid w:val="004C5045"/>
    <w:rsid w:val="004F5FCF"/>
    <w:rsid w:val="005B5889"/>
    <w:rsid w:val="005D38BE"/>
    <w:rsid w:val="00675450"/>
    <w:rsid w:val="006D1B84"/>
    <w:rsid w:val="006F7A14"/>
    <w:rsid w:val="00714AF6"/>
    <w:rsid w:val="00720EAE"/>
    <w:rsid w:val="007449AE"/>
    <w:rsid w:val="00747EDF"/>
    <w:rsid w:val="00750F60"/>
    <w:rsid w:val="007E61F7"/>
    <w:rsid w:val="00812231"/>
    <w:rsid w:val="00892F89"/>
    <w:rsid w:val="00897441"/>
    <w:rsid w:val="008A54C2"/>
    <w:rsid w:val="008F1757"/>
    <w:rsid w:val="008F397B"/>
    <w:rsid w:val="00927276"/>
    <w:rsid w:val="00951EC3"/>
    <w:rsid w:val="00967B67"/>
    <w:rsid w:val="0097237C"/>
    <w:rsid w:val="00972BFD"/>
    <w:rsid w:val="00997037"/>
    <w:rsid w:val="009B4C82"/>
    <w:rsid w:val="009F195E"/>
    <w:rsid w:val="00A113BA"/>
    <w:rsid w:val="00A16685"/>
    <w:rsid w:val="00A209EE"/>
    <w:rsid w:val="00A479C0"/>
    <w:rsid w:val="00A6044C"/>
    <w:rsid w:val="00A71DB2"/>
    <w:rsid w:val="00A75A44"/>
    <w:rsid w:val="00AC3183"/>
    <w:rsid w:val="00AE4560"/>
    <w:rsid w:val="00B06DB5"/>
    <w:rsid w:val="00B422EA"/>
    <w:rsid w:val="00BB76DB"/>
    <w:rsid w:val="00C100DD"/>
    <w:rsid w:val="00C86D4D"/>
    <w:rsid w:val="00C941C4"/>
    <w:rsid w:val="00CB2905"/>
    <w:rsid w:val="00D14B00"/>
    <w:rsid w:val="00D3225A"/>
    <w:rsid w:val="00D63451"/>
    <w:rsid w:val="00E002D9"/>
    <w:rsid w:val="00E51EB3"/>
    <w:rsid w:val="00E57FB6"/>
    <w:rsid w:val="00E71D02"/>
    <w:rsid w:val="00E77342"/>
    <w:rsid w:val="00E84EBE"/>
    <w:rsid w:val="00E93A03"/>
    <w:rsid w:val="00F00612"/>
    <w:rsid w:val="00F128F0"/>
    <w:rsid w:val="00F43428"/>
    <w:rsid w:val="00F650D9"/>
    <w:rsid w:val="00F77BB0"/>
    <w:rsid w:val="00F84F03"/>
    <w:rsid w:val="00FA0488"/>
    <w:rsid w:val="00FA3039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72C7AA"/>
  <w15:docId w15:val="{BD294BC1-C5D9-44BD-873A-2F020615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Subst">
    <w:name w:val="Subst"/>
    <w:rPr>
      <w:b/>
      <w:bCs/>
      <w:i/>
      <w:iCs/>
    </w:rPr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SubHeading">
    <w:name w:val="Sub Heading"/>
    <w:next w:val="a"/>
    <w:pPr>
      <w:widowControl w:val="0"/>
      <w:suppressAutoHyphens/>
      <w:autoSpaceDE w:val="0"/>
      <w:spacing w:before="240" w:after="40"/>
    </w:pPr>
    <w:rPr>
      <w:lang w:bidi="ru-RU"/>
    </w:rPr>
  </w:style>
  <w:style w:type="paragraph" w:customStyle="1" w:styleId="prilozhenie">
    <w:name w:val="prilozhenie"/>
    <w:basedOn w:val="a"/>
    <w:pPr>
      <w:ind w:firstLine="709"/>
      <w:jc w:val="both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Normal">
    <w:name w:val="ConsNormal"/>
    <w:rsid w:val="004F5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8">
    <w:name w:val="Знак Знак Знак Знак"/>
    <w:basedOn w:val="a"/>
    <w:rsid w:val="00812231"/>
    <w:pPr>
      <w:widowControl/>
      <w:suppressAutoHyphens w:val="0"/>
    </w:pPr>
    <w:rPr>
      <w:sz w:val="20"/>
      <w:szCs w:val="20"/>
      <w:lang w:val="en-US" w:eastAsia="en-US" w:bidi="ar-SA"/>
    </w:rPr>
  </w:style>
  <w:style w:type="table" w:styleId="-1">
    <w:name w:val="Table Web 1"/>
    <w:basedOn w:val="a1"/>
    <w:rsid w:val="006F7A14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99"/>
    <w:rsid w:val="00E57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1"/>
    <w:rsid w:val="00E57FB6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F00612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33798E"/>
    <w:rPr>
      <w:b/>
      <w:bCs/>
    </w:rPr>
  </w:style>
  <w:style w:type="paragraph" w:styleId="2">
    <w:name w:val="Body Text Indent 2"/>
    <w:basedOn w:val="a"/>
    <w:link w:val="20"/>
    <w:rsid w:val="00205C85"/>
    <w:pPr>
      <w:widowControl/>
      <w:suppressAutoHyphens w:val="0"/>
      <w:spacing w:after="120" w:line="480" w:lineRule="auto"/>
      <w:ind w:left="283"/>
    </w:pPr>
    <w:rPr>
      <w:lang w:bidi="ar-SA"/>
    </w:rPr>
  </w:style>
  <w:style w:type="character" w:customStyle="1" w:styleId="20">
    <w:name w:val="Основной текст с отступом 2 Знак"/>
    <w:link w:val="2"/>
    <w:rsid w:val="00205C85"/>
    <w:rPr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927276"/>
    <w:rPr>
      <w:color w:val="605E5C"/>
      <w:shd w:val="clear" w:color="auto" w:fill="E1DFDD"/>
    </w:rPr>
  </w:style>
  <w:style w:type="paragraph" w:styleId="ac">
    <w:name w:val="Subtitle"/>
    <w:basedOn w:val="a"/>
    <w:next w:val="a"/>
    <w:link w:val="ad"/>
    <w:qFormat/>
    <w:rsid w:val="00C941C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d">
    <w:name w:val="Подзаголовок Знак"/>
    <w:basedOn w:val="a0"/>
    <w:link w:val="ac"/>
    <w:rsid w:val="00C941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on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2</Company>
  <LinksUpToDate>false</LinksUpToDate>
  <CharactersWithSpaces>6344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http://www.e-disclosure.ru/portal/company.aspx?id=20639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1</dc:creator>
  <cp:lastModifiedBy>Тимофеева Екатерина Юрьевна</cp:lastModifiedBy>
  <cp:revision>3</cp:revision>
  <cp:lastPrinted>2015-05-05T12:32:00Z</cp:lastPrinted>
  <dcterms:created xsi:type="dcterms:W3CDTF">2022-09-23T08:27:00Z</dcterms:created>
  <dcterms:modified xsi:type="dcterms:W3CDTF">2022-09-23T12:09:00Z</dcterms:modified>
</cp:coreProperties>
</file>