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7A0896">
        <w:rPr>
          <w:b/>
          <w:iCs/>
          <w:color w:val="000000" w:themeColor="text1"/>
          <w:sz w:val="21"/>
          <w:szCs w:val="21"/>
        </w:rPr>
        <w:t>«2</w:t>
      </w:r>
      <w:r w:rsidR="007A0896" w:rsidRPr="007A0896">
        <w:rPr>
          <w:b/>
          <w:iCs/>
          <w:color w:val="000000" w:themeColor="text1"/>
          <w:sz w:val="21"/>
          <w:szCs w:val="21"/>
        </w:rPr>
        <w:t>8</w:t>
      </w:r>
      <w:r w:rsidR="002519B2" w:rsidRPr="00762A83">
        <w:rPr>
          <w:b/>
          <w:iCs/>
          <w:color w:val="000000" w:themeColor="text1"/>
          <w:sz w:val="21"/>
          <w:szCs w:val="21"/>
        </w:rPr>
        <w:t xml:space="preserve">» </w:t>
      </w:r>
      <w:r w:rsidR="00B61F2D">
        <w:rPr>
          <w:b/>
          <w:iCs/>
          <w:color w:val="000000" w:themeColor="text1"/>
          <w:sz w:val="21"/>
          <w:szCs w:val="21"/>
        </w:rPr>
        <w:t>мая 2020</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Дата, на которую определяются (фиксируются) лица, имеющие право на участие во Внеочередном Общем собрании акционеров –</w:t>
      </w:r>
      <w:r w:rsidR="005A4176">
        <w:rPr>
          <w:b/>
          <w:bCs/>
          <w:iCs/>
          <w:color w:val="000000" w:themeColor="text1"/>
          <w:sz w:val="21"/>
          <w:szCs w:val="21"/>
        </w:rPr>
        <w:t xml:space="preserve"> </w:t>
      </w:r>
      <w:r w:rsidR="005A4176" w:rsidRPr="005A4176">
        <w:rPr>
          <w:b/>
          <w:bCs/>
          <w:iCs/>
          <w:color w:val="000000" w:themeColor="text1"/>
          <w:sz w:val="21"/>
          <w:szCs w:val="21"/>
        </w:rPr>
        <w:t>7</w:t>
      </w:r>
      <w:r w:rsidR="007A0896" w:rsidRPr="007A0896">
        <w:rPr>
          <w:b/>
          <w:bCs/>
          <w:iCs/>
          <w:color w:val="000000" w:themeColor="text1"/>
          <w:sz w:val="21"/>
          <w:szCs w:val="21"/>
        </w:rPr>
        <w:t xml:space="preserve"> мая </w:t>
      </w:r>
      <w:r w:rsidR="00B61F2D">
        <w:rPr>
          <w:b/>
          <w:bCs/>
          <w:iCs/>
          <w:color w:val="000000" w:themeColor="text1"/>
          <w:sz w:val="21"/>
          <w:szCs w:val="21"/>
        </w:rPr>
        <w:t>2020</w:t>
      </w:r>
      <w:r w:rsidR="002B785C" w:rsidRPr="002B785C">
        <w:rPr>
          <w:b/>
          <w:bCs/>
          <w:iCs/>
          <w:color w:val="000000" w:themeColor="text1"/>
          <w:sz w:val="21"/>
          <w:szCs w:val="21"/>
        </w:rPr>
        <w:t xml:space="preserve"> г</w:t>
      </w:r>
      <w:r w:rsidR="002B785C">
        <w:rPr>
          <w:b/>
          <w:bCs/>
          <w:iCs/>
          <w:color w:val="000000" w:themeColor="text1"/>
          <w:sz w:val="21"/>
          <w:szCs w:val="21"/>
        </w:rPr>
        <w:t>.</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2B785C" w:rsidRDefault="00B61F2D" w:rsidP="00910431">
      <w:pPr>
        <w:pStyle w:val="a3"/>
        <w:tabs>
          <w:tab w:val="left" w:pos="284"/>
        </w:tabs>
        <w:ind w:firstLine="567"/>
        <w:rPr>
          <w:b/>
          <w:bCs/>
          <w:iCs/>
          <w:color w:val="000000"/>
          <w:sz w:val="21"/>
          <w:szCs w:val="21"/>
        </w:rPr>
      </w:pPr>
      <w:r w:rsidRPr="00B61F2D">
        <w:rPr>
          <w:b/>
          <w:bCs/>
          <w:iCs/>
          <w:color w:val="000000"/>
          <w:sz w:val="21"/>
          <w:szCs w:val="21"/>
        </w:rPr>
        <w:t>О последующем одобрении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w:t>
      </w:r>
    </w:p>
    <w:p w:rsidR="00B61F2D" w:rsidRPr="00762A83" w:rsidRDefault="00B61F2D"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5A4176">
        <w:rPr>
          <w:bCs/>
          <w:color w:val="000000" w:themeColor="text1"/>
          <w:sz w:val="21"/>
          <w:szCs w:val="21"/>
          <w:lang w:eastAsia="ar-SA"/>
        </w:rPr>
        <w:t>8</w:t>
      </w:r>
      <w:r w:rsidR="002B785C">
        <w:rPr>
          <w:bCs/>
          <w:color w:val="000000" w:themeColor="text1"/>
          <w:sz w:val="21"/>
          <w:szCs w:val="21"/>
          <w:lang w:eastAsia="ar-SA"/>
        </w:rPr>
        <w:t xml:space="preserve"> </w:t>
      </w:r>
      <w:r w:rsidR="00B61F2D">
        <w:rPr>
          <w:bCs/>
          <w:color w:val="000000" w:themeColor="text1"/>
          <w:sz w:val="21"/>
          <w:szCs w:val="21"/>
          <w:lang w:eastAsia="ar-SA"/>
        </w:rPr>
        <w:t>мая 2020</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5A4176">
        <w:rPr>
          <w:sz w:val="21"/>
          <w:szCs w:val="21"/>
        </w:rPr>
        <w:t>7</w:t>
      </w:r>
      <w:r w:rsidR="00B61F2D">
        <w:rPr>
          <w:sz w:val="21"/>
          <w:szCs w:val="21"/>
        </w:rPr>
        <w:t xml:space="preserve"> мая 2020г.</w:t>
      </w:r>
    </w:p>
    <w:p w:rsidR="00B61F2D" w:rsidRDefault="002519B2" w:rsidP="002519B2">
      <w:pPr>
        <w:autoSpaceDE w:val="0"/>
        <w:autoSpaceDN w:val="0"/>
        <w:adjustRightInd w:val="0"/>
        <w:ind w:firstLine="567"/>
        <w:jc w:val="both"/>
        <w:rPr>
          <w:sz w:val="21"/>
          <w:szCs w:val="21"/>
        </w:rPr>
      </w:pPr>
      <w:r w:rsidRPr="005A4176">
        <w:rPr>
          <w:sz w:val="21"/>
          <w:szCs w:val="21"/>
        </w:rPr>
        <w:lastRenderedPageBreak/>
        <w:t>Выкуп ПАО «Наука-Связь» голосующих акций осуществляется по цене, определенной Совет</w:t>
      </w:r>
      <w:r w:rsidR="00ED5D3A" w:rsidRPr="005A4176">
        <w:rPr>
          <w:sz w:val="21"/>
          <w:szCs w:val="21"/>
        </w:rPr>
        <w:t>ом директоров ПАО «Наука-Связь»</w:t>
      </w:r>
      <w:r w:rsidR="005A4176" w:rsidRPr="005A4176">
        <w:rPr>
          <w:sz w:val="21"/>
          <w:szCs w:val="21"/>
        </w:rPr>
        <w:t xml:space="preserve"> (Протокол №03/20 от 29.04.2020 г.)</w:t>
      </w:r>
      <w:r w:rsidR="00ED5D3A" w:rsidRPr="005A4176">
        <w:rPr>
          <w:sz w:val="21"/>
          <w:szCs w:val="21"/>
        </w:rPr>
        <w:t xml:space="preserve">, </w:t>
      </w:r>
      <w:r w:rsidR="005A4176" w:rsidRPr="005A4176">
        <w:rPr>
          <w:sz w:val="21"/>
          <w:szCs w:val="21"/>
        </w:rPr>
        <w:t>а именно</w:t>
      </w:r>
      <w:bookmarkStart w:id="0" w:name="_GoBack"/>
      <w:bookmarkEnd w:id="0"/>
      <w:r w:rsidR="005A4176" w:rsidRPr="005A4176">
        <w:rPr>
          <w:sz w:val="21"/>
          <w:szCs w:val="21"/>
        </w:rPr>
        <w:t xml:space="preserve"> по цене </w:t>
      </w:r>
      <w:r w:rsidR="005A4176" w:rsidRPr="005A4176">
        <w:rPr>
          <w:sz w:val="21"/>
          <w:szCs w:val="21"/>
          <w:lang w:val="x-none"/>
        </w:rPr>
        <w:t xml:space="preserve">238 </w:t>
      </w:r>
      <w:r w:rsidR="005A4176" w:rsidRPr="005A4176">
        <w:rPr>
          <w:sz w:val="21"/>
          <w:szCs w:val="21"/>
        </w:rPr>
        <w:t>рублей 52 копейки</w:t>
      </w:r>
      <w:r w:rsidR="005A4176" w:rsidRPr="005A4176">
        <w:rPr>
          <w:bCs/>
          <w:sz w:val="21"/>
          <w:szCs w:val="21"/>
        </w:rPr>
        <w:t xml:space="preserve">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 xml:space="preserve">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w:t>
      </w:r>
      <w:r w:rsidRPr="00762A83">
        <w:rPr>
          <w:sz w:val="21"/>
          <w:szCs w:val="21"/>
        </w:rPr>
        <w:lastRenderedPageBreak/>
        <w:t>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F6915"/>
    <w:rsid w:val="00163318"/>
    <w:rsid w:val="001708A5"/>
    <w:rsid w:val="0017627F"/>
    <w:rsid w:val="00176DC6"/>
    <w:rsid w:val="00183368"/>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B785C"/>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A4176"/>
    <w:rsid w:val="005E279A"/>
    <w:rsid w:val="00672A13"/>
    <w:rsid w:val="0067357C"/>
    <w:rsid w:val="006A7F58"/>
    <w:rsid w:val="006B061F"/>
    <w:rsid w:val="006F1388"/>
    <w:rsid w:val="00720E46"/>
    <w:rsid w:val="00762A83"/>
    <w:rsid w:val="0077072B"/>
    <w:rsid w:val="007A0896"/>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1F2D"/>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D5D3A"/>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48</cp:revision>
  <cp:lastPrinted>2015-05-07T12:58:00Z</cp:lastPrinted>
  <dcterms:created xsi:type="dcterms:W3CDTF">2014-08-05T07:38:00Z</dcterms:created>
  <dcterms:modified xsi:type="dcterms:W3CDTF">2020-05-04T08:38:00Z</dcterms:modified>
</cp:coreProperties>
</file>