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7B" w:rsidRPr="00DA477B" w:rsidRDefault="00DA477B" w:rsidP="00DA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lang w:eastAsia="ru-RU"/>
        </w:rPr>
      </w:pPr>
      <w:bookmarkStart w:id="0" w:name="OLE_LINK1"/>
      <w:bookmarkStart w:id="1" w:name="OLE_LINK2"/>
      <w:bookmarkStart w:id="2" w:name="OLE_LINK3"/>
      <w:bookmarkStart w:id="3" w:name="_GoBack"/>
      <w:r w:rsidRPr="00DA477B">
        <w:rPr>
          <w:rFonts w:ascii="Times New Roman" w:eastAsia="Times New Roman CYR" w:hAnsi="Times New Roman" w:cs="Times New Roman"/>
          <w:b/>
          <w:bCs/>
          <w:color w:val="000000"/>
          <w:lang w:eastAsia="ru-RU"/>
        </w:rPr>
        <w:t xml:space="preserve">Сообщение об изменении (корректировке) информации, </w:t>
      </w:r>
    </w:p>
    <w:p w:rsidR="00DA477B" w:rsidRPr="00DA477B" w:rsidRDefault="00DA477B" w:rsidP="00DA47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proofErr w:type="gramStart"/>
      <w:r w:rsidRPr="00DA477B">
        <w:rPr>
          <w:rFonts w:ascii="Times New Roman" w:eastAsia="Times New Roman" w:hAnsi="Times New Roman" w:cs="Times New Roman"/>
          <w:b/>
          <w:lang w:eastAsia="ru-RU" w:bidi="ru-RU"/>
        </w:rPr>
        <w:t>содержащейся</w:t>
      </w:r>
      <w:proofErr w:type="gramEnd"/>
      <w:r w:rsidRPr="00DA477B">
        <w:rPr>
          <w:rFonts w:ascii="Times New Roman" w:eastAsia="Times New Roman" w:hAnsi="Times New Roman" w:cs="Times New Roman"/>
          <w:b/>
          <w:lang w:eastAsia="ru-RU" w:bidi="ru-RU"/>
        </w:rPr>
        <w:t xml:space="preserve"> в ранее опубликованном эмитентом в ленте новостей сообщении </w:t>
      </w:r>
    </w:p>
    <w:p w:rsidR="00DA477B" w:rsidRPr="00DA477B" w:rsidRDefault="00DA477B" w:rsidP="00DA47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 CYR" w:eastAsia="Courier New CYR" w:hAnsi="Courier New CYR" w:cs="Courier New CYR"/>
          <w:color w:val="000000"/>
          <w:lang w:eastAsia="ru-RU"/>
        </w:rPr>
      </w:pPr>
      <w:r w:rsidRPr="007643E8">
        <w:rPr>
          <w:rFonts w:ascii="Times New Roman" w:eastAsia="Times New Roman" w:hAnsi="Times New Roman" w:cs="Times New Roman"/>
          <w:b/>
          <w:lang w:eastAsia="ru-RU" w:bidi="ru-RU"/>
        </w:rPr>
        <w:t>Сообщение о существенном факте «О проведении Общего собрания акционеров эмитента и о принятых им решениях»</w:t>
      </w:r>
    </w:p>
    <w:tbl>
      <w:tblPr>
        <w:tblW w:w="11247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3"/>
        <w:gridCol w:w="5954"/>
      </w:tblGrid>
      <w:tr w:rsidR="00DA477B" w:rsidRPr="00DA477B" w:rsidTr="00DF5EBE">
        <w:tc>
          <w:tcPr>
            <w:tcW w:w="1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</w:pPr>
            <w:r w:rsidRPr="00DA477B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  <w:t>1. Общие сведения</w:t>
            </w:r>
          </w:p>
        </w:tc>
      </w:tr>
      <w:tr w:rsidR="00DA477B" w:rsidRPr="00DA477B" w:rsidTr="00DF5EBE">
        <w:tc>
          <w:tcPr>
            <w:tcW w:w="5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1.1. Полное фирменное  наименование эмитента    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A47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Публичное акционерное Общество «Наука-Связь»</w:t>
            </w:r>
          </w:p>
        </w:tc>
      </w:tr>
      <w:tr w:rsidR="00DA477B" w:rsidRPr="00DA477B" w:rsidTr="00DF5EBE">
        <w:tc>
          <w:tcPr>
            <w:tcW w:w="5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A47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ПАО «Наука-Связь»</w:t>
            </w:r>
          </w:p>
        </w:tc>
      </w:tr>
      <w:tr w:rsidR="00DA477B" w:rsidRPr="00DA477B" w:rsidTr="00DF5EBE">
        <w:tc>
          <w:tcPr>
            <w:tcW w:w="5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1.3. Место нахождения эмитента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A47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Российская Федерация, </w:t>
            </w:r>
            <w:proofErr w:type="spellStart"/>
            <w:r w:rsidRPr="00DA47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г.Москва</w:t>
            </w:r>
            <w:proofErr w:type="spellEnd"/>
          </w:p>
        </w:tc>
      </w:tr>
      <w:tr w:rsidR="00DA477B" w:rsidRPr="00DA477B" w:rsidTr="00DF5EBE">
        <w:tc>
          <w:tcPr>
            <w:tcW w:w="5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1.4. ОГРН эмитента                 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A47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1077761976852</w:t>
            </w:r>
          </w:p>
        </w:tc>
      </w:tr>
      <w:tr w:rsidR="00DA477B" w:rsidRPr="00DA477B" w:rsidTr="00DF5EBE">
        <w:tc>
          <w:tcPr>
            <w:tcW w:w="5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1.5. ИНН эмитента                  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A47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7714716995</w:t>
            </w:r>
          </w:p>
        </w:tc>
      </w:tr>
      <w:tr w:rsidR="00DA477B" w:rsidRPr="00DA477B" w:rsidTr="00DF5EBE">
        <w:tc>
          <w:tcPr>
            <w:tcW w:w="5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DA47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12689-А</w:t>
            </w:r>
          </w:p>
        </w:tc>
      </w:tr>
      <w:tr w:rsidR="00DA477B" w:rsidRPr="00DA477B" w:rsidTr="00DF5EBE">
        <w:tc>
          <w:tcPr>
            <w:tcW w:w="5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 w:rsidRPr="00DA47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http</w:t>
            </w:r>
            <w:r w:rsidRPr="00DA47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://</w:t>
            </w:r>
            <w:r w:rsidRPr="00DA47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w</w:t>
            </w:r>
            <w:hyperlink r:id="rId4" w:history="1">
              <w:r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ww.oaonsv.ru</w:t>
              </w:r>
            </w:hyperlink>
          </w:p>
          <w:p w:rsidR="00DA477B" w:rsidRPr="00DA477B" w:rsidRDefault="00D47BCD" w:rsidP="00DA47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hyperlink r:id="rId5" w:history="1"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val="en-US" w:eastAsia="ru-RU" w:bidi="ru-RU"/>
                </w:rPr>
                <w:t>http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://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val="en-US" w:eastAsia="ru-RU" w:bidi="ru-RU"/>
                </w:rPr>
                <w:t>www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.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val="en-US" w:eastAsia="ru-RU" w:bidi="ru-RU"/>
                </w:rPr>
                <w:t>e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-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val="en-US" w:eastAsia="ru-RU" w:bidi="ru-RU"/>
                </w:rPr>
                <w:t>disclosure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.</w:t>
              </w:r>
              <w:proofErr w:type="spellStart"/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val="en-US" w:eastAsia="ru-RU" w:bidi="ru-RU"/>
                </w:rPr>
                <w:t>ru</w:t>
              </w:r>
              <w:proofErr w:type="spellEnd"/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/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val="en-US" w:eastAsia="ru-RU" w:bidi="ru-RU"/>
                </w:rPr>
                <w:t>portal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/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val="en-US" w:eastAsia="ru-RU" w:bidi="ru-RU"/>
                </w:rPr>
                <w:t>company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.</w:t>
              </w:r>
              <w:proofErr w:type="spellStart"/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val="en-US" w:eastAsia="ru-RU" w:bidi="ru-RU"/>
                </w:rPr>
                <w:t>aspx</w:t>
              </w:r>
              <w:proofErr w:type="spellEnd"/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?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val="en-US" w:eastAsia="ru-RU" w:bidi="ru-RU"/>
                </w:rPr>
                <w:t>id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=20639</w:t>
              </w:r>
            </w:hyperlink>
            <w:r w:rsidR="00DA477B" w:rsidRPr="00DA47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 xml:space="preserve"> </w:t>
            </w:r>
          </w:p>
          <w:p w:rsidR="00DA477B" w:rsidRPr="00DA477B" w:rsidRDefault="00DA477B" w:rsidP="00DA477B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</w:p>
        </w:tc>
      </w:tr>
      <w:tr w:rsidR="00DA477B" w:rsidRPr="00DA477B" w:rsidTr="00DF5EBE">
        <w:tc>
          <w:tcPr>
            <w:tcW w:w="5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477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7643E8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0</w:t>
            </w:r>
            <w:r w:rsidR="00D47BCD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8</w:t>
            </w:r>
            <w:r w:rsidRPr="00DA477B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.09.2020 г.</w:t>
            </w:r>
          </w:p>
        </w:tc>
      </w:tr>
    </w:tbl>
    <w:p w:rsidR="00DA477B" w:rsidRPr="00DA477B" w:rsidRDefault="00DA477B" w:rsidP="00DA477B">
      <w:pPr>
        <w:widowControl w:val="0"/>
        <w:suppressAutoHyphens/>
        <w:autoSpaceDE w:val="0"/>
        <w:spacing w:after="0" w:line="240" w:lineRule="auto"/>
        <w:jc w:val="both"/>
        <w:rPr>
          <w:rFonts w:ascii="Courier New CYR" w:eastAsia="Courier New CYR" w:hAnsi="Courier New CYR" w:cs="Courier New CYR"/>
          <w:color w:val="000000"/>
          <w:lang w:eastAsia="ru-RU" w:bidi="ru-RU"/>
        </w:rPr>
      </w:pPr>
    </w:p>
    <w:tbl>
      <w:tblPr>
        <w:tblW w:w="11247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7"/>
      </w:tblGrid>
      <w:tr w:rsidR="00DA477B" w:rsidRPr="00DA477B" w:rsidTr="00DF5EBE">
        <w:trPr>
          <w:trHeight w:val="180"/>
        </w:trPr>
        <w:tc>
          <w:tcPr>
            <w:tcW w:w="1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</w:pPr>
            <w:r w:rsidRPr="00DA477B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  <w:t>2. Содержание сообщения</w:t>
            </w:r>
          </w:p>
        </w:tc>
      </w:tr>
      <w:tr w:rsidR="00DA477B" w:rsidRPr="00DA477B" w:rsidTr="00DF5EBE">
        <w:trPr>
          <w:trHeight w:val="180"/>
        </w:trPr>
        <w:tc>
          <w:tcPr>
            <w:tcW w:w="1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8F1A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DA4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 Данное сообщение </w:t>
            </w:r>
            <w:r w:rsidRPr="00DA477B">
              <w:rPr>
                <w:rFonts w:ascii="Times New Roman" w:eastAsia="Times New Roman" w:hAnsi="Times New Roman" w:cs="Times New Roman"/>
                <w:lang w:eastAsia="ru-RU"/>
              </w:rPr>
              <w:t>публикуется в порядке изменения (корректировки) информации, содержащейся в ранее опубликованном эмитентом в ленте новостей сообщении о существенном факте «</w:t>
            </w:r>
            <w:r w:rsidR="008F1AAD" w:rsidRPr="00D47BC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Решения общих собраний участников (акционеров)</w:t>
            </w:r>
            <w:r w:rsidRPr="00D47BC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» (опубликовано </w:t>
            </w:r>
            <w:r w:rsidR="008F1AAD" w:rsidRPr="00D47BCD">
              <w:rPr>
                <w:rFonts w:ascii="Times New Roman" w:eastAsia="Times New Roman" w:hAnsi="Times New Roman" w:cs="Times New Roman"/>
                <w:lang w:eastAsia="ru-RU" w:bidi="ru-RU"/>
              </w:rPr>
              <w:t>28.08.2020 14:26</w:t>
            </w:r>
            <w:r w:rsidRPr="00D47BCD">
              <w:rPr>
                <w:rFonts w:ascii="Times New Roman" w:eastAsia="Times New Roman" w:hAnsi="Times New Roman" w:cs="Times New Roman"/>
                <w:lang w:eastAsia="ru-RU" w:bidi="ru-RU"/>
              </w:rPr>
              <w:t>).</w:t>
            </w:r>
          </w:p>
          <w:p w:rsidR="00DA477B" w:rsidRPr="00DA477B" w:rsidRDefault="00DA477B" w:rsidP="00DA4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2.2. Ссылка на ранее опубликованное сообщение, информация в котором изменяется (корректируется): </w:t>
            </w:r>
          </w:p>
          <w:p w:rsidR="00DA477B" w:rsidRPr="00DA477B" w:rsidRDefault="00DA477B" w:rsidP="00DA4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7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D4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  ленте новостей:</w:t>
            </w:r>
            <w:r w:rsidRPr="00DA47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1AAD" w:rsidRPr="007643E8" w:rsidRDefault="00D47BCD" w:rsidP="00DA4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hyperlink r:id="rId6" w:history="1">
              <w:r w:rsidR="008F1AAD" w:rsidRPr="007643E8">
                <w:rPr>
                  <w:rStyle w:val="a3"/>
                  <w:rFonts w:ascii="Times New Roman" w:eastAsia="Times New Roman" w:hAnsi="Times New Roman" w:cs="Times New Roman"/>
                  <w:b/>
                  <w:i/>
                  <w:lang w:eastAsia="ru-RU"/>
                </w:rPr>
                <w:t>https://e-disclosure.ru/portal/event.aspx?EventId=JLt26wETGUC2X-A1oEMvRgg-B-B</w:t>
              </w:r>
            </w:hyperlink>
          </w:p>
          <w:p w:rsidR="00DA477B" w:rsidRPr="00D47BCD" w:rsidRDefault="00DA477B" w:rsidP="00DA4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странице в сети Интернет, используемой эмитентом для раскрытия информации, на которой опубликован текст сообщения: </w:t>
            </w:r>
          </w:p>
          <w:p w:rsidR="00DA477B" w:rsidRPr="00DA477B" w:rsidRDefault="00D47BCD" w:rsidP="00DA47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hyperlink r:id="rId7" w:history="1">
              <w:r w:rsidR="00DA477B" w:rsidRPr="007643E8">
                <w:rPr>
                  <w:rFonts w:ascii="Times New Roman" w:eastAsia="Times New Roman" w:hAnsi="Times New Roman" w:cs="Times New Roman"/>
                  <w:b/>
                  <w:bCs/>
                  <w:i/>
                  <w:color w:val="000080"/>
                  <w:u w:val="single"/>
                  <w:lang w:val="en-US" w:eastAsia="ru-RU"/>
                </w:rPr>
                <w:t>http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bCs/>
                  <w:i/>
                  <w:color w:val="000080"/>
                  <w:u w:val="single"/>
                  <w:lang w:eastAsia="ru-RU"/>
                </w:rPr>
                <w:t>://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bCs/>
                  <w:i/>
                  <w:color w:val="000080"/>
                  <w:u w:val="single"/>
                  <w:lang w:val="en-US" w:eastAsia="ru-RU"/>
                </w:rPr>
                <w:t>www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bCs/>
                  <w:i/>
                  <w:color w:val="000080"/>
                  <w:u w:val="single"/>
                  <w:lang w:eastAsia="ru-RU"/>
                </w:rPr>
                <w:t>.</w:t>
              </w:r>
              <w:proofErr w:type="spellStart"/>
              <w:r w:rsidR="00DA477B" w:rsidRPr="007643E8">
                <w:rPr>
                  <w:rFonts w:ascii="Times New Roman" w:eastAsia="Times New Roman" w:hAnsi="Times New Roman" w:cs="Times New Roman"/>
                  <w:b/>
                  <w:bCs/>
                  <w:i/>
                  <w:color w:val="000080"/>
                  <w:u w:val="single"/>
                  <w:lang w:val="en-US" w:eastAsia="ru-RU"/>
                </w:rPr>
                <w:t>oaonsv</w:t>
              </w:r>
              <w:proofErr w:type="spellEnd"/>
              <w:r w:rsidR="00DA477B" w:rsidRPr="007643E8">
                <w:rPr>
                  <w:rFonts w:ascii="Times New Roman" w:eastAsia="Times New Roman" w:hAnsi="Times New Roman" w:cs="Times New Roman"/>
                  <w:b/>
                  <w:bCs/>
                  <w:i/>
                  <w:color w:val="000080"/>
                  <w:u w:val="single"/>
                  <w:lang w:eastAsia="ru-RU"/>
                </w:rPr>
                <w:t>.</w:t>
              </w:r>
              <w:proofErr w:type="spellStart"/>
              <w:r w:rsidR="00DA477B" w:rsidRPr="007643E8">
                <w:rPr>
                  <w:rFonts w:ascii="Times New Roman" w:eastAsia="Times New Roman" w:hAnsi="Times New Roman" w:cs="Times New Roman"/>
                  <w:b/>
                  <w:bCs/>
                  <w:i/>
                  <w:color w:val="000080"/>
                  <w:u w:val="single"/>
                  <w:lang w:val="en-US" w:eastAsia="ru-RU"/>
                </w:rPr>
                <w:t>ru</w:t>
              </w:r>
              <w:proofErr w:type="spellEnd"/>
              <w:r w:rsidR="00DA477B" w:rsidRPr="007643E8">
                <w:rPr>
                  <w:rFonts w:ascii="Times New Roman" w:eastAsia="Times New Roman" w:hAnsi="Times New Roman" w:cs="Times New Roman"/>
                  <w:b/>
                  <w:bCs/>
                  <w:i/>
                  <w:color w:val="000080"/>
                  <w:u w:val="single"/>
                  <w:lang w:eastAsia="ru-RU"/>
                </w:rPr>
                <w:t>/?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bCs/>
                  <w:i/>
                  <w:color w:val="000080"/>
                  <w:u w:val="single"/>
                  <w:lang w:val="en-US" w:eastAsia="ru-RU"/>
                </w:rPr>
                <w:t>section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bCs/>
                  <w:i/>
                  <w:color w:val="000080"/>
                  <w:u w:val="single"/>
                  <w:lang w:eastAsia="ru-RU"/>
                </w:rPr>
                <w:t>=</w:t>
              </w:r>
              <w:r w:rsidR="00DA477B" w:rsidRPr="007643E8">
                <w:rPr>
                  <w:rFonts w:ascii="Times New Roman" w:eastAsia="Times New Roman" w:hAnsi="Times New Roman" w:cs="Times New Roman"/>
                  <w:b/>
                  <w:bCs/>
                  <w:i/>
                  <w:color w:val="000080"/>
                  <w:u w:val="single"/>
                  <w:lang w:val="en-US" w:eastAsia="ru-RU"/>
                </w:rPr>
                <w:t>news</w:t>
              </w:r>
            </w:hyperlink>
          </w:p>
          <w:p w:rsidR="00DA477B" w:rsidRPr="00DA477B" w:rsidRDefault="00DA477B" w:rsidP="00DA47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A477B">
              <w:rPr>
                <w:rFonts w:ascii="Times New Roman" w:eastAsia="Times New Roman" w:hAnsi="Times New Roman" w:cs="Times New Roman"/>
                <w:lang w:eastAsia="ru-RU" w:bidi="ru-RU"/>
              </w:rPr>
              <w:t>2.3. Полный текст публикуемого сообщения с учетом внесенных изменений:</w:t>
            </w:r>
          </w:p>
          <w:p w:rsidR="008F1AAD" w:rsidRPr="007643E8" w:rsidRDefault="008F1AAD" w:rsidP="008F1A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</w:p>
          <w:p w:rsidR="008F1AAD" w:rsidRPr="00D47BCD" w:rsidRDefault="008F1AAD" w:rsidP="008F1A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</w:pPr>
            <w:r w:rsidRPr="00D47BCD"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  <w:t xml:space="preserve">Сообщение о существенном факте </w:t>
            </w:r>
          </w:p>
          <w:p w:rsidR="008F1AAD" w:rsidRPr="00D47BCD" w:rsidRDefault="008F1AAD" w:rsidP="008F1A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</w:pPr>
            <w:r w:rsidRPr="00D47BCD"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  <w:t>«О проведении Общего собрания акционеров эмитента и о принятых им решениях»</w:t>
            </w:r>
          </w:p>
          <w:p w:rsidR="008F1AAD" w:rsidRPr="00D47BCD" w:rsidRDefault="008F1AAD" w:rsidP="008F1A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</w:pPr>
          </w:p>
          <w:p w:rsidR="008F1AAD" w:rsidRPr="00D47BCD" w:rsidRDefault="008F1AAD" w:rsidP="008F1A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7BCD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</w:t>
            </w:r>
            <w:r w:rsidRPr="00D47BCD">
              <w:rPr>
                <w:rFonts w:ascii="Times New Roman" w:hAnsi="Times New Roman" w:cs="Times New Roman"/>
                <w:b/>
                <w:bCs/>
              </w:rPr>
              <w:t xml:space="preserve">ообщении о существенном факте </w:t>
            </w:r>
          </w:p>
          <w:p w:rsidR="008F1AAD" w:rsidRPr="00D47BCD" w:rsidRDefault="005A1231" w:rsidP="00D47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D47BCD">
              <w:rPr>
                <w:rFonts w:ascii="Times New Roman" w:hAnsi="Times New Roman" w:cs="Times New Roman"/>
                <w:b/>
                <w:bCs/>
              </w:rPr>
              <w:tab/>
            </w:r>
            <w:r w:rsidR="008F1AAD" w:rsidRPr="00D47BCD">
              <w:rPr>
                <w:rFonts w:ascii="Times New Roman" w:hAnsi="Times New Roman" w:cs="Times New Roman"/>
                <w:b/>
                <w:bCs/>
              </w:rPr>
              <w:t>«О принятии решения о размещении ценных бумаг»</w:t>
            </w:r>
            <w:r w:rsidRPr="00D47BCD">
              <w:rPr>
                <w:rFonts w:ascii="Times New Roman" w:hAnsi="Times New Roman" w:cs="Times New Roman"/>
                <w:b/>
                <w:bCs/>
              </w:rPr>
              <w:tab/>
            </w:r>
            <w:bookmarkStart w:id="4" w:name="OLE_LINK17"/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77"/>
              <w:gridCol w:w="5797"/>
            </w:tblGrid>
            <w:tr w:rsidR="00D47BCD" w:rsidRPr="00D47BCD" w:rsidTr="00DF5EBE">
              <w:tc>
                <w:tcPr>
                  <w:tcW w:w="10774" w:type="dxa"/>
                  <w:gridSpan w:val="2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bCs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b/>
                      <w:bCs/>
                      <w:lang w:eastAsia="ru-RU" w:bidi="ru-RU"/>
                    </w:rPr>
                    <w:t>1. Общие сведения</w:t>
                  </w:r>
                </w:p>
              </w:tc>
            </w:tr>
            <w:tr w:rsidR="00D47BCD" w:rsidRPr="00D47BCD" w:rsidTr="00DF5EBE">
              <w:tc>
                <w:tcPr>
                  <w:tcW w:w="497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  <w:t xml:space="preserve">1.1. Полное </w:t>
                  </w:r>
                  <w:proofErr w:type="gramStart"/>
                  <w:r w:rsidRPr="00D47BCD"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  <w:t>фирменное  наименование</w:t>
                  </w:r>
                  <w:proofErr w:type="gramEnd"/>
                  <w:r w:rsidRPr="00D47BCD"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  <w:t xml:space="preserve"> эмитента    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  <w:t>Публичное акционерное Общество «Наука-Связь»</w:t>
                  </w:r>
                </w:p>
              </w:tc>
            </w:tr>
            <w:tr w:rsidR="00D47BCD" w:rsidRPr="00D47BCD" w:rsidTr="00DF5EBE">
              <w:tc>
                <w:tcPr>
                  <w:tcW w:w="497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  <w:t xml:space="preserve">1.2.  Сокращенное      фирменное наименование эмитента              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  <w:t>ПАО «Наука-Связь»</w:t>
                  </w:r>
                </w:p>
              </w:tc>
            </w:tr>
            <w:tr w:rsidR="00D47BCD" w:rsidRPr="00D47BCD" w:rsidTr="00DF5EBE">
              <w:tc>
                <w:tcPr>
                  <w:tcW w:w="497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  <w:t>1.3. Место нахождения эмитента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  <w:t xml:space="preserve">Российская Федерация, </w:t>
                  </w:r>
                  <w:proofErr w:type="spellStart"/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  <w:t>г.Москва</w:t>
                  </w:r>
                  <w:proofErr w:type="spellEnd"/>
                </w:p>
              </w:tc>
            </w:tr>
            <w:tr w:rsidR="00D47BCD" w:rsidRPr="00D47BCD" w:rsidTr="00DF5EBE">
              <w:tc>
                <w:tcPr>
                  <w:tcW w:w="497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  <w:t xml:space="preserve">1.4. ОГРН эмитента                 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  <w:t>1077761976852</w:t>
                  </w:r>
                </w:p>
              </w:tc>
            </w:tr>
            <w:tr w:rsidR="00D47BCD" w:rsidRPr="00D47BCD" w:rsidTr="00DF5EBE">
              <w:tc>
                <w:tcPr>
                  <w:tcW w:w="497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  <w:t xml:space="preserve">1.5. ИНН эмитента                  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  <w:t>7714716995</w:t>
                  </w:r>
                </w:p>
              </w:tc>
            </w:tr>
            <w:tr w:rsidR="00D47BCD" w:rsidRPr="00D47BCD" w:rsidTr="00DF5EBE">
              <w:tc>
                <w:tcPr>
                  <w:tcW w:w="497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  <w:t xml:space="preserve">1.6. Уникальный   код   эмитента, присвоенный регистрирующим органом                                  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  <w:t>12689-А</w:t>
                  </w:r>
                </w:p>
              </w:tc>
            </w:tr>
            <w:tr w:rsidR="00D47BCD" w:rsidRPr="00D47BCD" w:rsidTr="00DF5EBE">
              <w:tc>
                <w:tcPr>
                  <w:tcW w:w="497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  <w:t xml:space="preserve">1.7. Адрес страницы в сети Интернет, используемой   эмитентом для раскрытия информации           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val="en-US" w:eastAsia="ru-RU" w:bidi="ru-RU"/>
                    </w:rPr>
                    <w:t>http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>://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val="en-US" w:eastAsia="ru-RU" w:bidi="ru-RU"/>
                    </w:rPr>
                    <w:t>w</w:t>
                  </w:r>
                  <w:hyperlink r:id="rId8" w:history="1">
                    <w:r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eastAsia="ru-RU" w:bidi="ru-RU"/>
                      </w:rPr>
                      <w:t>ww.oaonsv.ru</w:t>
                    </w:r>
                  </w:hyperlink>
                </w:p>
                <w:p w:rsidR="008F1AAD" w:rsidRPr="00D47BCD" w:rsidRDefault="00D47BCD" w:rsidP="008F1AA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 w:bidi="ru-RU"/>
                    </w:rPr>
                  </w:pPr>
                  <w:hyperlink r:id="rId9" w:history="1"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val="en-US" w:eastAsia="ru-RU" w:bidi="ru-RU"/>
                      </w:rPr>
                      <w:t>http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eastAsia="ru-RU" w:bidi="ru-RU"/>
                      </w:rPr>
                      <w:t>://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val="en-US" w:eastAsia="ru-RU" w:bidi="ru-RU"/>
                      </w:rPr>
                      <w:t>www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eastAsia="ru-RU" w:bidi="ru-RU"/>
                      </w:rPr>
                      <w:t>.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val="en-US" w:eastAsia="ru-RU" w:bidi="ru-RU"/>
                      </w:rPr>
                      <w:t>e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eastAsia="ru-RU" w:bidi="ru-RU"/>
                      </w:rPr>
                      <w:t>-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val="en-US" w:eastAsia="ru-RU" w:bidi="ru-RU"/>
                      </w:rPr>
                      <w:t>disclosure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eastAsia="ru-RU" w:bidi="ru-RU"/>
                      </w:rPr>
                      <w:t>.</w:t>
                    </w:r>
                    <w:proofErr w:type="spellStart"/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val="en-US" w:eastAsia="ru-RU" w:bidi="ru-RU"/>
                      </w:rPr>
                      <w:t>ru</w:t>
                    </w:r>
                    <w:proofErr w:type="spellEnd"/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eastAsia="ru-RU" w:bidi="ru-RU"/>
                      </w:rPr>
                      <w:t>/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val="en-US" w:eastAsia="ru-RU" w:bidi="ru-RU"/>
                      </w:rPr>
                      <w:t>portal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eastAsia="ru-RU" w:bidi="ru-RU"/>
                      </w:rPr>
                      <w:t>/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val="en-US" w:eastAsia="ru-RU" w:bidi="ru-RU"/>
                      </w:rPr>
                      <w:t>company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eastAsia="ru-RU" w:bidi="ru-RU"/>
                      </w:rPr>
                      <w:t>.</w:t>
                    </w:r>
                    <w:proofErr w:type="spellStart"/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val="en-US" w:eastAsia="ru-RU" w:bidi="ru-RU"/>
                      </w:rPr>
                      <w:t>aspx</w:t>
                    </w:r>
                    <w:proofErr w:type="spellEnd"/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eastAsia="ru-RU" w:bidi="ru-RU"/>
                      </w:rPr>
                      <w:t>?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val="en-US" w:eastAsia="ru-RU" w:bidi="ru-RU"/>
                      </w:rPr>
                      <w:t>id</w:t>
                    </w:r>
                    <w:r w:rsidR="008F1AAD" w:rsidRPr="00D47BCD">
                      <w:rPr>
                        <w:rFonts w:ascii="Times New Roman" w:eastAsia="Times New Roman" w:hAnsi="Times New Roman" w:cs="Times New Roman"/>
                        <w:b/>
                        <w:i/>
                        <w:lang w:eastAsia="ru-RU" w:bidi="ru-RU"/>
                      </w:rPr>
                      <w:t>=20639</w:t>
                    </w:r>
                  </w:hyperlink>
                  <w:r w:rsidR="008F1AAD" w:rsidRPr="00D47BCD">
                    <w:rPr>
                      <w:rFonts w:ascii="Times New Roman" w:eastAsia="Times New Roman" w:hAnsi="Times New Roman" w:cs="Times New Roman"/>
                      <w:b/>
                      <w:i/>
                      <w:lang w:eastAsia="ru-RU" w:bidi="ru-RU"/>
                    </w:rPr>
                    <w:t xml:space="preserve"> </w:t>
                  </w:r>
                </w:p>
                <w:p w:rsidR="008F1AAD" w:rsidRPr="00D47BCD" w:rsidRDefault="008F1AAD" w:rsidP="008F1AAD">
                  <w:pPr>
                    <w:widowControl w:val="0"/>
                    <w:suppressAutoHyphens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</w:pPr>
                </w:p>
              </w:tc>
            </w:tr>
            <w:tr w:rsidR="00D47BCD" w:rsidRPr="00D47BCD" w:rsidTr="00DF5EBE">
              <w:tc>
                <w:tcPr>
                  <w:tcW w:w="497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lang w:eastAsia="ru-RU" w:bidi="ru-RU"/>
                    </w:rPr>
                    <w:t>1.8.</w:t>
                  </w:r>
                  <w:r w:rsidRPr="00D47BCD">
                    <w:rPr>
                      <w:rFonts w:ascii="Times New Roman CYR" w:eastAsia="Calibri" w:hAnsi="Times New Roman CYR" w:cs="Times New Roman CYR"/>
                    </w:rPr>
                    <w:t xml:space="preserve"> Дата наступления события (существенного факта), о котором составлено сообщение</w:t>
                  </w:r>
                </w:p>
              </w:tc>
              <w:tc>
                <w:tcPr>
                  <w:tcW w:w="5797" w:type="dxa"/>
                  <w:shd w:val="clear" w:color="auto" w:fill="auto"/>
                </w:tcPr>
                <w:p w:rsidR="008F1AAD" w:rsidRPr="00D47BCD" w:rsidRDefault="008F1AAD" w:rsidP="008F1AA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val="en-US" w:eastAsia="ru-RU" w:bidi="ru-RU"/>
                    </w:rPr>
                    <w:t>28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>.08.2020 г.</w:t>
                  </w:r>
                </w:p>
              </w:tc>
            </w:tr>
            <w:bookmarkEnd w:id="4"/>
          </w:tbl>
          <w:p w:rsidR="00502FEE" w:rsidRPr="00D47BCD" w:rsidRDefault="00502FEE" w:rsidP="00502FE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 CYR" w:eastAsia="Courier New CYR" w:hAnsi="Courier New CYR" w:cs="Courier New CYR"/>
                <w:lang w:eastAsia="ru-RU" w:bidi="ru-RU"/>
              </w:rPr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4"/>
            </w:tblGrid>
            <w:tr w:rsidR="00D47BCD" w:rsidRPr="00D47BCD" w:rsidTr="00DF5EBE">
              <w:trPr>
                <w:trHeight w:val="180"/>
              </w:trPr>
              <w:tc>
                <w:tcPr>
                  <w:tcW w:w="10774" w:type="dxa"/>
                  <w:shd w:val="clear" w:color="auto" w:fill="auto"/>
                </w:tcPr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bCs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b/>
                      <w:bCs/>
                      <w:lang w:eastAsia="ru-RU" w:bidi="ru-RU"/>
                    </w:rPr>
                    <w:t>2. Содержание сообщения</w:t>
                  </w:r>
                </w:p>
              </w:tc>
            </w:tr>
            <w:tr w:rsidR="00D47BCD" w:rsidRPr="00D47BCD" w:rsidTr="00DF5EBE">
              <w:trPr>
                <w:trHeight w:val="180"/>
              </w:trPr>
              <w:tc>
                <w:tcPr>
                  <w:tcW w:w="10774" w:type="dxa"/>
                  <w:shd w:val="clear" w:color="auto" w:fill="auto"/>
                </w:tcPr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2.1. Вид Общего собрания акционеров ПАО «Наука-Связь» (</w:t>
                  </w:r>
                  <w:r w:rsidRPr="00D47BCD">
                    <w:rPr>
                      <w:rFonts w:ascii="Times New Roman" w:eastAsia="Times New Roman" w:hAnsi="Times New Roman" w:cs="Times New Roman"/>
                      <w:bCs/>
                      <w:iCs/>
                      <w:lang w:eastAsia="ru-RU" w:bidi="ru-RU"/>
                    </w:rPr>
                    <w:t xml:space="preserve">орган управления эмитента, принявший решение о размещении ценных бумаг, и способ принятия решения (указывается вид общего собрания - годовое или </w:t>
                  </w:r>
                  <w:r w:rsidRPr="00D47BCD">
                    <w:rPr>
                      <w:rFonts w:ascii="Times New Roman" w:eastAsia="Times New Roman" w:hAnsi="Times New Roman" w:cs="Times New Roman"/>
                      <w:bCs/>
                      <w:iCs/>
                      <w:lang w:eastAsia="ru-RU" w:bidi="ru-RU"/>
                    </w:rPr>
                    <w:lastRenderedPageBreak/>
                    <w:t>внеочередное)</w:t>
                  </w: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 xml:space="preserve">: 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i/>
                      <w:lang w:eastAsia="ru-RU" w:bidi="ru-RU"/>
                    </w:rPr>
                    <w:t>Внеочередное Общее собрание акционеров.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i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 xml:space="preserve">2.2. Форма проведения Общего собрания акционеров ПАО «Наука-Связь»: 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i/>
                      <w:lang w:eastAsia="ru-RU" w:bidi="ru-RU"/>
                    </w:rPr>
                    <w:t>заочное голосование.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 xml:space="preserve">2.3. Дата, место, время проведения Общего собрания акционеров ПАО «Наука-Связь» (дата и место проведения собрания (заседания) уполномоченного органа управления эмитента, на котором принято решение о размещении ценных бумаг): 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lang w:eastAsia="ru-RU" w:bidi="ru-RU"/>
                    </w:rPr>
                    <w:t xml:space="preserve">дата проведения общего собрания (дата окончания приема заполненных бюллетеней): «25» августа 2020г., 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ru-RU"/>
                    </w:rPr>
                    <w:t>почтовый адрес, по которому направлялись заполненные бюллетени: Российская Федерация, 127287, г. Москва, 2-я Хуторская ул., д.38А., строение 15, ПАО «Наука-Связь» (ВОСА).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2.4. Кворум Общего собрания акционеров ПАО «Наука-Связь»: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ru-RU"/>
                    </w:rPr>
                    <w:t>По первому вопросу повестки дня: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87"/>
                    <w:gridCol w:w="2083"/>
                  </w:tblGrid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  <w:t>1 201 562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  <w:t>1 201 562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Число голосов, которыми обладали лица, принявшие участие в общем собрании, по данному вопросу повестки дня общего собрания: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1 010 732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Наличие кворума: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есть (84,12%)</w:t>
                        </w:r>
                      </w:p>
                    </w:tc>
                  </w:tr>
                </w:tbl>
                <w:p w:rsidR="00502FEE" w:rsidRPr="00D47BCD" w:rsidRDefault="00502FEE" w:rsidP="00502FE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ru-RU"/>
                    </w:rPr>
                    <w:t>По второму вопросу повестки дня (кворум по вопросу о принятии решения о размещении ценных бумаг):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87"/>
                    <w:gridCol w:w="2083"/>
                  </w:tblGrid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  <w:t>1 201 562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  <w:t>1 201 562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Число голосов, которыми обладали лица, принявшие участие в общем собрании, по данному вопросу повестки дня общего собрания: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1 010 732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Наличие кворума: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есть (84,12%)</w:t>
                        </w:r>
                      </w:p>
                    </w:tc>
                  </w:tr>
                </w:tbl>
                <w:p w:rsidR="00502FEE" w:rsidRPr="00D47BCD" w:rsidRDefault="00502FEE" w:rsidP="00502FE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ru-RU"/>
                    </w:rPr>
                    <w:t>По третьему вопросу повестки дня: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87"/>
                    <w:gridCol w:w="2083"/>
                  </w:tblGrid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  <w:t>1 201 562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  <w:t>1 201 562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Число голосов, которыми обладали лица, принявшие участие в общем собрании, по данному вопросу повестки дня общего собрания: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  <w:t>1 010 732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lang w:val="en-US"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7487" w:type="dxa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Наличие кворума:</w:t>
                        </w:r>
                      </w:p>
                    </w:tc>
                    <w:tc>
                      <w:tcPr>
                        <w:tcW w:w="2083" w:type="dxa"/>
                        <w:vAlign w:val="bottom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 w:bidi="ru-RU"/>
                          </w:rPr>
                        </w:pPr>
                        <w:proofErr w:type="spellStart"/>
                        <w:proofErr w:type="gramStart"/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 w:bidi="ru-RU"/>
                          </w:rPr>
                          <w:t>есть</w:t>
                        </w:r>
                        <w:proofErr w:type="spellEnd"/>
                        <w:proofErr w:type="gramEnd"/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val="en-US" w:eastAsia="ru-RU" w:bidi="ru-RU"/>
                          </w:rPr>
                          <w:t xml:space="preserve"> (84,12%)</w:t>
                        </w:r>
                      </w:p>
                    </w:tc>
                  </w:tr>
                </w:tbl>
                <w:p w:rsidR="00502FEE" w:rsidRPr="00D47BCD" w:rsidRDefault="00502FEE" w:rsidP="00502FE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 w:bidi="ru-RU"/>
                    </w:rPr>
                  </w:pP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2.5. Повестка дня Общего собрания акционеров ПАО «Наука-Связь»:</w:t>
                  </w:r>
                </w:p>
                <w:p w:rsidR="00502FEE" w:rsidRPr="00D47BCD" w:rsidRDefault="00502FEE" w:rsidP="00502FEE">
                  <w:pPr>
                    <w:spacing w:after="0" w:line="240" w:lineRule="auto"/>
                    <w:ind w:firstLine="6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1. Утверждение Устава ПАО «Наука-Связь» в новой редакции.</w:t>
                  </w:r>
                </w:p>
                <w:p w:rsidR="00502FEE" w:rsidRPr="00D47BCD" w:rsidRDefault="00502FEE" w:rsidP="00502FEE">
                  <w:pPr>
                    <w:spacing w:after="0" w:line="240" w:lineRule="auto"/>
                    <w:ind w:firstLine="6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2. О размещении дополнительных акций в количестве 3 500 000 штук.</w:t>
                  </w:r>
                </w:p>
                <w:p w:rsidR="00502FEE" w:rsidRPr="00D47BCD" w:rsidRDefault="00502FEE" w:rsidP="00502FEE">
                  <w:pPr>
                    <w:spacing w:after="0" w:line="240" w:lineRule="auto"/>
                    <w:ind w:firstLine="6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3. Определение количественного состава Совета директоров ПАО «Наука-Связь».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2.6. Результаты голосования по вопросам повестки дня Общего собрания акционеров ПАО «Наука-Связь», по которым имелся кворум: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По первому вопросу:</w:t>
                  </w:r>
                </w:p>
                <w:tbl>
                  <w:tblPr>
                    <w:tblW w:w="95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8"/>
                    <w:gridCol w:w="1457"/>
                    <w:gridCol w:w="1457"/>
                    <w:gridCol w:w="1457"/>
                    <w:gridCol w:w="1457"/>
                    <w:gridCol w:w="1457"/>
                    <w:gridCol w:w="1458"/>
                  </w:tblGrid>
                  <w:tr w:rsidR="00D47BCD" w:rsidRPr="00D47BCD" w:rsidTr="00DF5EBE">
                    <w:trPr>
                      <w:cantSplit/>
                    </w:trPr>
                    <w:tc>
                      <w:tcPr>
                        <w:tcW w:w="828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Всего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«За»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«Против»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«Воздержался»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</w:pPr>
                        <w:proofErr w:type="spellStart"/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  <w:t>Недейств</w:t>
                        </w:r>
                        <w:proofErr w:type="spellEnd"/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  <w:t xml:space="preserve">. и </w:t>
                        </w:r>
                      </w:p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  <w:t xml:space="preserve">неподсчитанные* </w:t>
                        </w:r>
                      </w:p>
                    </w:tc>
                    <w:tc>
                      <w:tcPr>
                        <w:tcW w:w="1458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Не голосовали</w:t>
                        </w: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82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Голоса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1 010 732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1 010 732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82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%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100,00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100,00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  <w:tc>
                      <w:tcPr>
                        <w:tcW w:w="145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</w:tr>
                </w:tbl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По второму вопросу</w:t>
                  </w:r>
                  <w:r w:rsidR="00D47BCD" w:rsidRPr="00D47BCD">
                    <w:rPr>
                      <w:rFonts w:ascii="Times New Roman" w:eastAsia="Times New Roman" w:hAnsi="Times New Roman" w:cs="Times New Roman"/>
                      <w:bCs/>
                      <w:lang w:eastAsia="ru-RU" w:bidi="ru-RU"/>
                    </w:rPr>
                    <w:t xml:space="preserve"> (результаты голосования по вопросу о принятии решения о размещении ценных бумаг)</w:t>
                  </w: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:</w:t>
                  </w:r>
                </w:p>
                <w:tbl>
                  <w:tblPr>
                    <w:tblW w:w="95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8"/>
                    <w:gridCol w:w="1457"/>
                    <w:gridCol w:w="1457"/>
                    <w:gridCol w:w="1457"/>
                    <w:gridCol w:w="1457"/>
                    <w:gridCol w:w="1457"/>
                    <w:gridCol w:w="1458"/>
                  </w:tblGrid>
                  <w:tr w:rsidR="00D47BCD" w:rsidRPr="00D47BCD" w:rsidTr="00DF5EBE">
                    <w:trPr>
                      <w:cantSplit/>
                    </w:trPr>
                    <w:tc>
                      <w:tcPr>
                        <w:tcW w:w="828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Всего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«За»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«Против»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«Воздержался»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</w:pPr>
                        <w:proofErr w:type="spellStart"/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  <w:t>Недейств</w:t>
                        </w:r>
                        <w:proofErr w:type="spellEnd"/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  <w:t xml:space="preserve">. и </w:t>
                        </w:r>
                      </w:p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  <w:t xml:space="preserve">неподсчитанные* </w:t>
                        </w:r>
                      </w:p>
                    </w:tc>
                    <w:tc>
                      <w:tcPr>
                        <w:tcW w:w="1458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Не голосовали</w:t>
                        </w: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82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Голоса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1 010 732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1 010 732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82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%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100,00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100,00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  <w:tc>
                      <w:tcPr>
                        <w:tcW w:w="145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</w:tr>
                </w:tbl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По третьему вопросу:</w:t>
                  </w:r>
                </w:p>
                <w:tbl>
                  <w:tblPr>
                    <w:tblW w:w="95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8"/>
                    <w:gridCol w:w="1457"/>
                    <w:gridCol w:w="1457"/>
                    <w:gridCol w:w="1457"/>
                    <w:gridCol w:w="1457"/>
                    <w:gridCol w:w="1457"/>
                    <w:gridCol w:w="1458"/>
                  </w:tblGrid>
                  <w:tr w:rsidR="00D47BCD" w:rsidRPr="00D47BCD" w:rsidTr="00DF5EBE">
                    <w:trPr>
                      <w:cantSplit/>
                    </w:trPr>
                    <w:tc>
                      <w:tcPr>
                        <w:tcW w:w="828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Всего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«За»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«Против»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«Воздержался»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</w:pPr>
                        <w:proofErr w:type="spellStart"/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  <w:t>Недейств</w:t>
                        </w:r>
                        <w:proofErr w:type="spellEnd"/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  <w:t xml:space="preserve">. и </w:t>
                        </w:r>
                      </w:p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lang w:eastAsia="ru-RU" w:bidi="ru-RU"/>
                          </w:rPr>
                          <w:t xml:space="preserve">неподсчитанные* </w:t>
                        </w:r>
                      </w:p>
                    </w:tc>
                    <w:tc>
                      <w:tcPr>
                        <w:tcW w:w="1458" w:type="dxa"/>
                        <w:vAlign w:val="center"/>
                      </w:tcPr>
                      <w:p w:rsidR="00502FEE" w:rsidRPr="00D47BCD" w:rsidRDefault="00502FEE" w:rsidP="00502FEE">
                        <w:pPr>
                          <w:keepNext/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Не голосовали</w:t>
                        </w: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82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Голоса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1 010 732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1 010 732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  <w:tc>
                      <w:tcPr>
                        <w:tcW w:w="145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</w:t>
                        </w:r>
                      </w:p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</w:p>
                    </w:tc>
                  </w:tr>
                  <w:tr w:rsidR="00D47BCD" w:rsidRPr="00D47BCD" w:rsidTr="00DF5EBE">
                    <w:trPr>
                      <w:cantSplit/>
                    </w:trPr>
                    <w:tc>
                      <w:tcPr>
                        <w:tcW w:w="82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lang w:eastAsia="ru-RU" w:bidi="ru-RU"/>
                          </w:rPr>
                          <w:t>%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100,00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100,00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  <w:tc>
                      <w:tcPr>
                        <w:tcW w:w="1457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  <w:tc>
                      <w:tcPr>
                        <w:tcW w:w="1458" w:type="dxa"/>
                        <w:vAlign w:val="center"/>
                      </w:tcPr>
                      <w:p w:rsidR="00502FEE" w:rsidRPr="00D47BCD" w:rsidRDefault="00502FEE" w:rsidP="00502FEE">
                        <w:pPr>
                          <w:widowControl w:val="0"/>
                          <w:suppressAutoHyphens/>
                          <w:spacing w:before="40" w:after="4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</w:pPr>
                        <w:r w:rsidRPr="00D47BCD">
                          <w:rPr>
                            <w:rFonts w:ascii="Times New Roman" w:eastAsia="Times New Roman" w:hAnsi="Times New Roman" w:cs="Times New Roman"/>
                            <w:b/>
                            <w:lang w:eastAsia="ru-RU" w:bidi="ru-RU"/>
                          </w:rPr>
                          <w:t>0,00</w:t>
                        </w:r>
                      </w:p>
                    </w:tc>
                  </w:tr>
                </w:tbl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>2.7. Формулировки решений, принятых Общим собранием акционеров ПАО «Наука-Связь»: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1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 xml:space="preserve">Принятое решение по первому вопросу повестки дня: </w:t>
                  </w:r>
                </w:p>
                <w:p w:rsidR="00502FEE" w:rsidRPr="00D47BCD" w:rsidRDefault="00502FEE" w:rsidP="00502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>1. Утвердить Устав Общества в новой редакции.</w:t>
                  </w:r>
                </w:p>
                <w:p w:rsidR="00502FEE" w:rsidRPr="00D47BCD" w:rsidRDefault="00502FEE" w:rsidP="00502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>2. Поручить Генеральному директору ПАО «Наука-Связь» подписать от имени Общества заявление и подать документы на регистрацию в регистрирующий орган.</w:t>
                  </w:r>
                </w:p>
                <w:p w:rsidR="00502FEE" w:rsidRPr="00D47BCD" w:rsidRDefault="00502FEE" w:rsidP="00502FE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>Принятое решение по второму вопросу повестки дня</w:t>
                  </w: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(полная формулировка принятого решения о размещении ценных бумаг)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 xml:space="preserve">: </w:t>
                  </w:r>
                </w:p>
                <w:p w:rsidR="00502FEE" w:rsidRPr="00D47BCD" w:rsidRDefault="00502FEE" w:rsidP="00502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>1. Увеличить уставный капитал ПАО «Наука-Связь» на  3 500 000 (Три миллиона пятьсот тысяч) рублей путем размещения дополнительных акций именных обыкновенных бездокументарных в количестве 3 500 000 (Три миллиона пятьсот тысяч) штук номинальной стоимостью 1 (один) рубль каждая на следующих условиях:</w:t>
                  </w:r>
                </w:p>
                <w:p w:rsidR="00502FEE" w:rsidRPr="00D47BCD" w:rsidRDefault="00502FEE" w:rsidP="00502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>1.1. вид, категория (тип) размещаемых ценных бумаг - акции именные обыкновенные бездокументарные;</w:t>
                  </w: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общее количество размещаемых дополнительных акций именных обыкновенных бездокументарных – 3 500 000 штук (в пределах количества объявленных акций);</w:t>
                  </w:r>
                </w:p>
                <w:p w:rsidR="00502FEE" w:rsidRPr="00D47BCD" w:rsidRDefault="00502FEE" w:rsidP="00502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>1.2</w:t>
                  </w:r>
                  <w:proofErr w:type="gramStart"/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>. номинальная</w:t>
                  </w:r>
                  <w:proofErr w:type="gramEnd"/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стоимость одной размещаемой дополнительной акции именной обыкновенной бездокументарной – 1 (один) рубль;</w:t>
                  </w:r>
                </w:p>
                <w:p w:rsidR="007643E8" w:rsidRPr="00D47BCD" w:rsidRDefault="00502FEE" w:rsidP="00502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>1.3. цена размещения одной дополнительной акции именной обыкновенной бездокументарной – 120 (Сто двадцать рублей) для лиц, осуществляющих преимущественное право приобретения размещаемых дополнительных акций и 130 (Сто тридцать) рублей для всех иных приобретателей. Цена размещения дополнительных обыкновенных именных бездокументарных акций остается неизменной для приобретателей в течение всего срока ра</w:t>
                  </w:r>
                  <w:r w:rsidR="007643E8"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>змещения;</w:t>
                  </w:r>
                </w:p>
                <w:p w:rsidR="00502FEE" w:rsidRPr="00D47BCD" w:rsidRDefault="00502FEE" w:rsidP="00502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1.4. способ размещения – открытая подписка. </w:t>
                  </w:r>
                </w:p>
                <w:p w:rsidR="007643E8" w:rsidRPr="00D47BCD" w:rsidRDefault="00502FEE" w:rsidP="00502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>2. Форма оплаты размещаемых дополнительных обыкновенных акций: оплата денежными средствами в безналичном порядке в валюте Российской Федерации. Дополнительные ценные бумаги оплачиваются приобретателями при их размещении в полном объеме. Возможность рассрочки оплаты размещаемых</w:t>
                  </w:r>
                  <w:r w:rsidR="007643E8"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ценных бумаг не предусмотрена.</w:t>
                  </w:r>
                </w:p>
                <w:p w:rsidR="00502FEE" w:rsidRPr="00D47BCD" w:rsidRDefault="00502FEE" w:rsidP="00502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>3. Оплату расходов, связанных с внесением приходных записей о зачислении размещаемых ценных бумаг на лицевые счета (счета депо) их первых владельцев (приобретателей), несет эмитент ценных бумаг.</w:t>
                  </w: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4. Все дополнительные обыкновенные именные бездокументарные акции ПАО «Наука-Связь» размещаются при условии их полной оплаты.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132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 xml:space="preserve">Принятое решение по третьему вопросу повестки дня: </w:t>
                  </w:r>
                </w:p>
                <w:p w:rsidR="00502FEE" w:rsidRPr="00D47BCD" w:rsidRDefault="00502FEE" w:rsidP="00502F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lang w:eastAsia="ru-RU"/>
                    </w:rPr>
                    <w:t>Определить количественный состав Совета директоров ПАО «Наука-Связь» для избрания членов Совета директоров на собрании акционеров, повестка дня которого будет содержать вопрос об избрании членов Совета директоров ПАО «Наука-Связь», в количестве 5 человек.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Cs/>
                      <w:lang w:eastAsia="ru-RU" w:bidi="ru-RU"/>
                    </w:rPr>
                    <w:t xml:space="preserve">2.8. Дата составления и номер Протокола Общего собрания акционеров ПАО «Наука-Связь», на котором принято решение о размещении ценных бумаг: 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>28.08.2020 г., Протокол №04/20.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Cs/>
                      <w:lang w:eastAsia="ru-RU" w:bidi="ru-RU"/>
                    </w:rPr>
                    <w:t>2.9.</w:t>
                  </w: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 xml:space="preserve"> </w:t>
                  </w:r>
                  <w:r w:rsidRPr="00D47BCD">
                    <w:rPr>
                      <w:rFonts w:ascii="Times New Roman" w:eastAsia="Times New Roman" w:hAnsi="Times New Roman" w:cs="Times New Roman"/>
                      <w:bCs/>
                      <w:lang w:eastAsia="ru-RU" w:bidi="ru-RU"/>
                    </w:rPr>
                    <w:t xml:space="preserve">Идентификационные признаки ценных бумаг эмитента: 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 xml:space="preserve">акции обыкновенные именные </w:t>
                  </w:r>
                  <w:r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lastRenderedPageBreak/>
                    <w:t>бездокументарные; государственный регистрационный номер выпуска-1-01-12689-А; дата государственной регистрации– 19.12.2007г.; международный код (номер) идентификации ценных бумаг (ISIN)– RU000A0GQLB6.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Cs/>
                      <w:lang w:eastAsia="ru-RU" w:bidi="ru-RU"/>
                    </w:rPr>
                    <w:t>2.10.</w:t>
                  </w:r>
                  <w:r w:rsidRPr="00D47BCD">
                    <w:rPr>
                      <w:rFonts w:ascii="Times New Roman" w:eastAsia="Times New Roman" w:hAnsi="Times New Roman" w:cs="Times New Roman"/>
                      <w:lang w:eastAsia="ru-RU" w:bidi="ru-RU"/>
                    </w:rPr>
                    <w:t xml:space="preserve"> </w:t>
                  </w:r>
                  <w:r w:rsidRPr="00D47BCD">
                    <w:rPr>
                      <w:rFonts w:ascii="Times New Roman" w:eastAsia="Times New Roman" w:hAnsi="Times New Roman" w:cs="Times New Roman"/>
                      <w:bCs/>
                      <w:lang w:eastAsia="ru-RU" w:bidi="ru-RU"/>
                    </w:rPr>
                    <w:t>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бумаг:</w:t>
                  </w:r>
                  <w:r w:rsidR="005A1231" w:rsidRPr="00D47BCD">
                    <w:rPr>
                      <w:rFonts w:ascii="Times New Roman" w:eastAsia="Times New Roman" w:hAnsi="Times New Roman" w:cs="Times New Roman"/>
                      <w:bCs/>
                      <w:lang w:eastAsia="ru-RU" w:bidi="ru-RU"/>
                    </w:rPr>
                    <w:t xml:space="preserve"> </w:t>
                  </w:r>
                  <w:r w:rsidR="005A1231"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>преимущественное право приобретения дополнительных акций имеют лица, являющиеся акционерами Эмитента на «</w:t>
                  </w:r>
                  <w:r w:rsidR="00D47BCD"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>0</w:t>
                  </w:r>
                  <w:r w:rsidR="005A1231"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>3» августа 2020 г. (дата определения (фиксации) лиц, имеющих право на участие во внеочередном общем собрании акционеров Общества, на котором было принято решение о размещении акций).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" w:hAnsi="Times New Roman" w:cs="Times New Roman"/>
                      <w:bCs/>
                      <w:lang w:eastAsia="ru-RU" w:bidi="ru-RU"/>
                    </w:rPr>
                    <w:t>2.11. В случае если в ходе эмиссии ценных бумаг предполагается регистрация (представление бирже) проспекта ценных бумаг, сведения об указанном обстоятельстве:</w:t>
                  </w:r>
                  <w:r w:rsidR="005A1231" w:rsidRPr="00D47BCD">
                    <w:rPr>
                      <w:rFonts w:ascii="Times New Roman" w:eastAsia="Times New Roman" w:hAnsi="Times New Roman" w:cs="Times New Roman"/>
                      <w:bCs/>
                      <w:lang w:eastAsia="ru-RU" w:bidi="ru-RU"/>
                    </w:rPr>
                    <w:t xml:space="preserve"> </w:t>
                  </w:r>
                  <w:r w:rsidR="005A1231" w:rsidRP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>не применимо</w:t>
                  </w:r>
                  <w:r w:rsidR="00D47B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 w:bidi="ru-RU"/>
                    </w:rPr>
                    <w:t>.</w:t>
                  </w:r>
                </w:p>
              </w:tc>
            </w:tr>
            <w:tr w:rsidR="00502FEE" w:rsidRPr="00D47BCD" w:rsidTr="00DF5EBE">
              <w:trPr>
                <w:trHeight w:val="180"/>
              </w:trPr>
              <w:tc>
                <w:tcPr>
                  <w:tcW w:w="10774" w:type="dxa"/>
                  <w:shd w:val="clear" w:color="auto" w:fill="auto"/>
                </w:tcPr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 CYR" w:eastAsia="Times New Roman CYR" w:hAnsi="Times New Roman CYR" w:cs="Times New Roman CYR"/>
                      <w:b/>
                      <w:bCs/>
                      <w:color w:val="000000"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b/>
                      <w:bCs/>
                      <w:color w:val="000000"/>
                      <w:lang w:eastAsia="ru-RU" w:bidi="ru-RU"/>
                    </w:rPr>
                    <w:t>3. Подпись</w:t>
                  </w:r>
                </w:p>
              </w:tc>
            </w:tr>
            <w:tr w:rsidR="00502FEE" w:rsidRPr="00D47BCD" w:rsidTr="00DF5EBE">
              <w:trPr>
                <w:trHeight w:val="1332"/>
              </w:trPr>
              <w:tc>
                <w:tcPr>
                  <w:tcW w:w="10774" w:type="dxa"/>
                  <w:shd w:val="clear" w:color="auto" w:fill="auto"/>
                </w:tcPr>
                <w:p w:rsidR="00D47BCD" w:rsidRPr="00DA477B" w:rsidRDefault="00D47BCD" w:rsidP="00D47BCD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</w:pPr>
                  <w:r w:rsidRPr="00DA477B"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  <w:t xml:space="preserve">3.1. Генеральный директор </w:t>
                  </w:r>
                </w:p>
                <w:p w:rsidR="00D47BCD" w:rsidRDefault="00D47BCD" w:rsidP="00D47BCD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  <w:t>Публичного акционерного о</w:t>
                  </w:r>
                  <w:r w:rsidRPr="00DA477B"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  <w:t>бщества</w:t>
                  </w:r>
                  <w:r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  <w:t xml:space="preserve"> </w:t>
                  </w:r>
                  <w:r w:rsidRPr="00DA477B"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  <w:t xml:space="preserve">«Наука-Связь»     </w:t>
                  </w:r>
                </w:p>
                <w:p w:rsidR="00D47BCD" w:rsidRPr="00D47BCD" w:rsidRDefault="00D47BCD" w:rsidP="00D47BCD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</w:pPr>
                  <w:r w:rsidRPr="00D47BCD"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  <w:t>(Протокол №10/20 заседания Совета директоров</w:t>
                  </w:r>
                </w:p>
                <w:p w:rsidR="00D47BCD" w:rsidRPr="00DA477B" w:rsidRDefault="00D47BCD" w:rsidP="00D47BCD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</w:pPr>
                  <w:proofErr w:type="gramStart"/>
                  <w:r w:rsidRPr="00D47BCD"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  <w:t>от</w:t>
                  </w:r>
                  <w:proofErr w:type="gramEnd"/>
                  <w:r w:rsidRPr="00D47BCD"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  <w:t xml:space="preserve"> 19.08.2020г., Приказ №1 от 22.08.2020г.)     </w:t>
                  </w:r>
                  <w:r w:rsidRPr="00DA477B"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  <w:t xml:space="preserve">                     ______________         </w:t>
                  </w:r>
                  <w:proofErr w:type="spellStart"/>
                  <w:r w:rsidRPr="007643E8">
                    <w:rPr>
                      <w:rFonts w:ascii="Times New Roman CYR" w:eastAsia="Times New Roman CYR" w:hAnsi="Times New Roman CYR" w:cs="Times New Roman CYR"/>
                      <w:color w:val="000000"/>
                      <w:lang w:eastAsia="ru-RU" w:bidi="ru-RU"/>
                    </w:rPr>
                    <w:t>В.А.Болдин</w:t>
                  </w:r>
                  <w:proofErr w:type="spellEnd"/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Courier New CYR" w:hAnsi="Times New Roman" w:cs="Times New Roman"/>
                      <w:color w:val="000000"/>
                      <w:lang w:eastAsia="ru-RU" w:bidi="ru-RU"/>
                    </w:rPr>
                  </w:pP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Times New Roman CYR" w:hAnsi="Times New Roman" w:cs="Times New Roman"/>
                      <w:color w:val="000000"/>
                      <w:lang w:eastAsia="ru-RU" w:bidi="ru-RU"/>
                    </w:rPr>
                  </w:pPr>
                  <w:r w:rsidRPr="00D47BCD">
                    <w:rPr>
                      <w:rFonts w:ascii="Times New Roman" w:eastAsia="Times New Roman CYR" w:hAnsi="Times New Roman" w:cs="Times New Roman"/>
                      <w:color w:val="000000"/>
                      <w:lang w:eastAsia="ru-RU" w:bidi="ru-RU"/>
                    </w:rPr>
                    <w:t>3.2. «28» августа 2020 г.                                                                        М.П.</w:t>
                  </w:r>
                </w:p>
                <w:p w:rsidR="00502FEE" w:rsidRPr="00D47BCD" w:rsidRDefault="00502FEE" w:rsidP="00502FEE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Courier New CYR" w:eastAsia="Courier New CYR" w:hAnsi="Courier New CYR" w:cs="Courier New CYR"/>
                      <w:color w:val="000000"/>
                      <w:lang w:eastAsia="ru-RU" w:bidi="ru-RU"/>
                    </w:rPr>
                  </w:pPr>
                </w:p>
              </w:tc>
            </w:tr>
          </w:tbl>
          <w:p w:rsidR="008F1AAD" w:rsidRPr="00D47BCD" w:rsidRDefault="008F1AAD" w:rsidP="00DA47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DA477B" w:rsidRPr="00DA477B" w:rsidRDefault="00DA477B" w:rsidP="007643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D47BCD">
              <w:rPr>
                <w:rFonts w:ascii="Times New Roman" w:eastAsia="Times New Roman" w:hAnsi="Times New Roman" w:cs="Times New Roman"/>
                <w:lang w:eastAsia="ru-RU" w:bidi="ru-RU"/>
              </w:rPr>
              <w:t>2.4</w:t>
            </w:r>
            <w:r w:rsidRPr="00D47BC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</w:t>
            </w:r>
            <w:r w:rsidRPr="00D47BC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Краткое описание внесенных изменений: </w:t>
            </w:r>
            <w:r w:rsidR="005A1231" w:rsidRPr="00D47BCD">
              <w:rPr>
                <w:rFonts w:ascii="Times New Roman" w:eastAsia="Times New Roman" w:hAnsi="Times New Roman" w:cs="Times New Roman"/>
                <w:lang w:eastAsia="ru-RU" w:bidi="ru-RU"/>
              </w:rPr>
              <w:t>добавлена</w:t>
            </w:r>
            <w:r w:rsidR="005A123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информация в соответствии с существенным фактом «О принятии решения о размещении ценных бумаг»</w:t>
            </w:r>
          </w:p>
        </w:tc>
      </w:tr>
      <w:tr w:rsidR="00DA477B" w:rsidRPr="00DA477B" w:rsidTr="00DF5EBE">
        <w:trPr>
          <w:trHeight w:val="180"/>
        </w:trPr>
        <w:tc>
          <w:tcPr>
            <w:tcW w:w="1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</w:pPr>
            <w:r w:rsidRPr="00DA477B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  <w:lastRenderedPageBreak/>
              <w:t>3. Подпись</w:t>
            </w:r>
          </w:p>
        </w:tc>
      </w:tr>
      <w:tr w:rsidR="00DA477B" w:rsidRPr="00DA477B" w:rsidTr="00DF5EBE">
        <w:trPr>
          <w:trHeight w:val="1332"/>
        </w:trPr>
        <w:tc>
          <w:tcPr>
            <w:tcW w:w="1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3.1. Генеральный директор </w:t>
            </w:r>
          </w:p>
          <w:p w:rsidR="00D47BCD" w:rsidRDefault="00D47BCD" w:rsidP="00DA47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Публичного акционерного о</w:t>
            </w:r>
            <w:r w:rsidR="00DA477B"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бщества</w:t>
            </w:r>
            <w:r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="00DA477B"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«Наука-Связь»     </w:t>
            </w:r>
          </w:p>
          <w:p w:rsidR="00D47BCD" w:rsidRPr="00D47BCD" w:rsidRDefault="00D47BCD" w:rsidP="00D47B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D47BCD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(Протокол №10/20 заседания Совета директоров</w:t>
            </w:r>
          </w:p>
          <w:p w:rsidR="00DA477B" w:rsidRPr="00DA477B" w:rsidRDefault="00D47BCD" w:rsidP="00D47B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proofErr w:type="gramStart"/>
            <w:r w:rsidRPr="00D47BCD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от</w:t>
            </w:r>
            <w:proofErr w:type="gramEnd"/>
            <w:r w:rsidRPr="00D47BCD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19.08.2020г., Приказ №1 от 22.08.2020г.)     </w:t>
            </w:r>
            <w:r w:rsidR="00DA477B"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                    ______________         </w:t>
            </w:r>
            <w:proofErr w:type="spellStart"/>
            <w:r w:rsidR="00502FEE" w:rsidRPr="007643E8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В.А.Болдин</w:t>
            </w:r>
            <w:proofErr w:type="spellEnd"/>
          </w:p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Courier New CYR" w:eastAsia="Courier New CYR" w:hAnsi="Courier New CYR" w:cs="Courier New CYR"/>
                <w:color w:val="000000"/>
                <w:lang w:eastAsia="ru-RU" w:bidi="ru-RU"/>
              </w:rPr>
            </w:pPr>
          </w:p>
          <w:p w:rsidR="00DA477B" w:rsidRPr="00DA477B" w:rsidRDefault="00D47BCD" w:rsidP="00DA47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3.2. «08</w:t>
            </w:r>
            <w:r w:rsidR="00DA477B" w:rsidRPr="00DA477B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» сентября 2020 г.                                                                     М.П.</w:t>
            </w:r>
          </w:p>
          <w:p w:rsidR="00DA477B" w:rsidRPr="00DA477B" w:rsidRDefault="00DA477B" w:rsidP="00DA477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 CYR" w:eastAsia="Courier New CYR" w:hAnsi="Courier New CYR" w:cs="Courier New CYR"/>
                <w:color w:val="000000"/>
                <w:lang w:eastAsia="ru-RU" w:bidi="ru-RU"/>
              </w:rPr>
            </w:pPr>
          </w:p>
        </w:tc>
      </w:tr>
      <w:bookmarkEnd w:id="0"/>
      <w:bookmarkEnd w:id="1"/>
      <w:bookmarkEnd w:id="2"/>
    </w:tbl>
    <w:p w:rsidR="00DA477B" w:rsidRPr="00DA477B" w:rsidRDefault="00DA477B" w:rsidP="00DA477B">
      <w:pPr>
        <w:widowControl w:val="0"/>
        <w:suppressAutoHyphens/>
        <w:autoSpaceDE w:val="0"/>
        <w:spacing w:after="0" w:line="240" w:lineRule="auto"/>
        <w:rPr>
          <w:rFonts w:ascii="Courier New CYR" w:eastAsia="Courier New CYR" w:hAnsi="Courier New CYR" w:cs="Courier New CYR"/>
          <w:color w:val="000000"/>
          <w:lang w:eastAsia="ru-RU" w:bidi="ru-RU"/>
        </w:rPr>
      </w:pPr>
    </w:p>
    <w:bookmarkEnd w:id="3"/>
    <w:p w:rsidR="003A6D5E" w:rsidRPr="007643E8" w:rsidRDefault="003A6D5E"/>
    <w:sectPr w:rsidR="003A6D5E" w:rsidRPr="007643E8" w:rsidSect="00E443B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7E"/>
    <w:rsid w:val="003A6D5E"/>
    <w:rsid w:val="004504FA"/>
    <w:rsid w:val="00502FEE"/>
    <w:rsid w:val="005A1231"/>
    <w:rsid w:val="007643E8"/>
    <w:rsid w:val="008F1AAD"/>
    <w:rsid w:val="00D1677E"/>
    <w:rsid w:val="00D47BCD"/>
    <w:rsid w:val="00D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65E9-D84F-4C6C-B9D4-A47E1399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7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A47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8F1A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ns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onsv.ru/?section=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disclosure.ru/portal/event.aspx?EventId=JLt26wETGUC2X-A1oEMvRgg-B-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-disclosure.ru/portal/company.aspx?id=206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aonsv.ru/" TargetMode="External"/><Relationship Id="rId9" Type="http://schemas.openxmlformats.org/officeDocument/2006/relationships/hyperlink" Target="http://www.e-disclosure.ru/portal/company.aspx?id=2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9656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Ю. Крылова</dc:creator>
  <cp:lastModifiedBy>Екатерина Ю. Крылова</cp:lastModifiedBy>
  <cp:revision>2</cp:revision>
  <dcterms:created xsi:type="dcterms:W3CDTF">2020-09-08T13:48:00Z</dcterms:created>
  <dcterms:modified xsi:type="dcterms:W3CDTF">2020-09-08T13:48:00Z</dcterms:modified>
</cp:coreProperties>
</file>