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EAE" w:rsidRPr="00720EAE" w:rsidRDefault="00720EAE" w:rsidP="00720EAE">
      <w:pPr>
        <w:autoSpaceDE w:val="0"/>
        <w:jc w:val="center"/>
        <w:rPr>
          <w:rFonts w:ascii="Times New Roman CYR" w:eastAsia="Times New Roman CYR" w:hAnsi="Times New Roman CYR" w:cs="Times New Roman CYR"/>
          <w:b/>
          <w:bCs/>
          <w:color w:val="000000"/>
          <w:sz w:val="20"/>
          <w:szCs w:val="20"/>
        </w:rPr>
      </w:pPr>
      <w:bookmarkStart w:id="0" w:name="OLE_LINK1"/>
      <w:bookmarkStart w:id="1" w:name="OLE_LINK2"/>
      <w:bookmarkStart w:id="2" w:name="_GoBack"/>
      <w:r w:rsidRPr="00720EAE">
        <w:rPr>
          <w:rFonts w:ascii="Times New Roman CYR" w:eastAsia="Times New Roman CYR" w:hAnsi="Times New Roman CYR" w:cs="Times New Roman CYR"/>
          <w:b/>
          <w:bCs/>
          <w:color w:val="000000"/>
          <w:sz w:val="20"/>
          <w:szCs w:val="20"/>
        </w:rPr>
        <w:t xml:space="preserve">Сообщение о существенном факте </w:t>
      </w:r>
    </w:p>
    <w:p w:rsidR="002B5C71" w:rsidRPr="00720EAE" w:rsidRDefault="00720EAE" w:rsidP="00720EAE">
      <w:pPr>
        <w:autoSpaceDE w:val="0"/>
        <w:jc w:val="center"/>
        <w:rPr>
          <w:rFonts w:ascii="Times New Roman CYR" w:eastAsia="Times New Roman CYR" w:hAnsi="Times New Roman CYR" w:cs="Times New Roman CYR"/>
          <w:b/>
          <w:bCs/>
          <w:color w:val="000000"/>
          <w:sz w:val="20"/>
          <w:szCs w:val="20"/>
        </w:rPr>
      </w:pPr>
      <w:r w:rsidRPr="00720EAE">
        <w:rPr>
          <w:rFonts w:ascii="Times New Roman CYR" w:eastAsia="Times New Roman CYR" w:hAnsi="Times New Roman CYR" w:cs="Times New Roman CYR"/>
          <w:b/>
          <w:bCs/>
          <w:color w:val="000000"/>
          <w:sz w:val="20"/>
          <w:szCs w:val="20"/>
        </w:rPr>
        <w:t>«О проведении Общего собрания акционеров эмитента и о принятых им решениях»</w:t>
      </w:r>
    </w:p>
    <w:p w:rsidR="006F7A14" w:rsidRPr="00720EAE" w:rsidRDefault="006F7A14" w:rsidP="006F7A14">
      <w:pPr>
        <w:autoSpaceDE w:val="0"/>
        <w:jc w:val="center"/>
        <w:rPr>
          <w:rFonts w:ascii="Courier New CYR" w:eastAsia="Courier New CYR" w:hAnsi="Courier New CYR" w:cs="Courier New CYR"/>
          <w:b/>
          <w:color w:val="000000"/>
          <w:sz w:val="20"/>
          <w:szCs w:val="20"/>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977"/>
        <w:gridCol w:w="5797"/>
      </w:tblGrid>
      <w:tr w:rsidR="002B5C71" w:rsidRPr="00720EAE" w:rsidTr="007449AE">
        <w:tc>
          <w:tcPr>
            <w:tcW w:w="10774" w:type="dxa"/>
            <w:gridSpan w:val="2"/>
            <w:shd w:val="clear" w:color="auto" w:fill="auto"/>
          </w:tcPr>
          <w:p w:rsidR="002B5C71" w:rsidRPr="00720EAE" w:rsidRDefault="002B5C71">
            <w:pPr>
              <w:autoSpaceDE w:val="0"/>
              <w:jc w:val="center"/>
              <w:rPr>
                <w:rFonts w:ascii="Times New Roman CYR" w:eastAsia="Times New Roman CYR" w:hAnsi="Times New Roman CYR" w:cs="Times New Roman CYR"/>
                <w:b/>
                <w:bCs/>
                <w:color w:val="000000"/>
                <w:sz w:val="20"/>
                <w:szCs w:val="20"/>
              </w:rPr>
            </w:pPr>
            <w:r w:rsidRPr="00720EAE">
              <w:rPr>
                <w:rFonts w:ascii="Times New Roman CYR" w:eastAsia="Times New Roman CYR" w:hAnsi="Times New Roman CYR" w:cs="Times New Roman CYR"/>
                <w:b/>
                <w:bCs/>
                <w:color w:val="000000"/>
                <w:sz w:val="20"/>
                <w:szCs w:val="20"/>
              </w:rPr>
              <w:t>1. Общие сведения</w:t>
            </w:r>
          </w:p>
        </w:tc>
      </w:tr>
      <w:tr w:rsidR="000F1864" w:rsidTr="007449AE">
        <w:tc>
          <w:tcPr>
            <w:tcW w:w="4977" w:type="dxa"/>
            <w:shd w:val="clear" w:color="auto" w:fill="auto"/>
          </w:tcPr>
          <w:p w:rsidR="008A54C2" w:rsidRPr="00720EAE" w:rsidRDefault="008A54C2" w:rsidP="008A54C2">
            <w:pPr>
              <w:autoSpaceDE w:val="0"/>
              <w:rPr>
                <w:rFonts w:ascii="Times New Roman CYR" w:eastAsia="Times New Roman CYR" w:hAnsi="Times New Roman CYR" w:cs="Times New Roman CYR"/>
                <w:color w:val="000000"/>
                <w:sz w:val="20"/>
                <w:szCs w:val="20"/>
              </w:rPr>
            </w:pPr>
            <w:r w:rsidRPr="00720EAE">
              <w:rPr>
                <w:rFonts w:ascii="Times New Roman CYR" w:eastAsia="Times New Roman CYR" w:hAnsi="Times New Roman CYR" w:cs="Times New Roman CYR"/>
                <w:color w:val="000000"/>
                <w:sz w:val="20"/>
                <w:szCs w:val="20"/>
              </w:rPr>
              <w:t xml:space="preserve">1.1. Полное фирменное  наименование эмитента    </w:t>
            </w:r>
          </w:p>
        </w:tc>
        <w:tc>
          <w:tcPr>
            <w:tcW w:w="5797" w:type="dxa"/>
            <w:shd w:val="clear" w:color="auto" w:fill="auto"/>
          </w:tcPr>
          <w:p w:rsidR="008A54C2" w:rsidRPr="00720EAE" w:rsidRDefault="008A54C2" w:rsidP="008A54C2">
            <w:pPr>
              <w:rPr>
                <w:b/>
                <w:bCs/>
                <w:i/>
                <w:iCs/>
                <w:sz w:val="20"/>
                <w:szCs w:val="20"/>
              </w:rPr>
            </w:pPr>
            <w:r w:rsidRPr="00720EAE">
              <w:rPr>
                <w:b/>
                <w:bCs/>
                <w:i/>
                <w:iCs/>
                <w:sz w:val="20"/>
                <w:szCs w:val="20"/>
              </w:rPr>
              <w:t>Публичное акционерное Общество «Наука-Связь»</w:t>
            </w:r>
          </w:p>
        </w:tc>
      </w:tr>
      <w:tr w:rsidR="000F1864" w:rsidTr="007449AE">
        <w:tc>
          <w:tcPr>
            <w:tcW w:w="4977" w:type="dxa"/>
            <w:shd w:val="clear" w:color="auto" w:fill="auto"/>
          </w:tcPr>
          <w:p w:rsidR="008A54C2" w:rsidRPr="00720EAE" w:rsidRDefault="008A54C2" w:rsidP="008A54C2">
            <w:pPr>
              <w:autoSpaceDE w:val="0"/>
              <w:rPr>
                <w:rFonts w:ascii="Times New Roman CYR" w:eastAsia="Times New Roman CYR" w:hAnsi="Times New Roman CYR" w:cs="Times New Roman CYR"/>
                <w:color w:val="000000"/>
                <w:sz w:val="20"/>
                <w:szCs w:val="20"/>
              </w:rPr>
            </w:pPr>
            <w:r w:rsidRPr="00720EAE">
              <w:rPr>
                <w:rFonts w:ascii="Times New Roman CYR" w:eastAsia="Times New Roman CYR" w:hAnsi="Times New Roman CYR" w:cs="Times New Roman CYR"/>
                <w:color w:val="000000"/>
                <w:sz w:val="20"/>
                <w:szCs w:val="20"/>
              </w:rPr>
              <w:t xml:space="preserve">1.2.  Сокращенное      фирменное наименование эмитента              </w:t>
            </w:r>
          </w:p>
        </w:tc>
        <w:tc>
          <w:tcPr>
            <w:tcW w:w="5797" w:type="dxa"/>
            <w:shd w:val="clear" w:color="auto" w:fill="auto"/>
          </w:tcPr>
          <w:p w:rsidR="008A54C2" w:rsidRPr="00720EAE" w:rsidRDefault="008A54C2" w:rsidP="008A54C2">
            <w:pPr>
              <w:pStyle w:val="prilozhenie"/>
              <w:ind w:firstLine="0"/>
              <w:rPr>
                <w:b/>
                <w:bCs/>
                <w:i/>
                <w:iCs/>
                <w:sz w:val="20"/>
                <w:szCs w:val="20"/>
              </w:rPr>
            </w:pPr>
            <w:r w:rsidRPr="00720EAE">
              <w:rPr>
                <w:b/>
                <w:bCs/>
                <w:i/>
                <w:iCs/>
                <w:sz w:val="20"/>
                <w:szCs w:val="20"/>
              </w:rPr>
              <w:t>ПАО «Наука-Связь»</w:t>
            </w:r>
          </w:p>
        </w:tc>
      </w:tr>
      <w:tr w:rsidR="000F1864" w:rsidTr="007449AE">
        <w:tc>
          <w:tcPr>
            <w:tcW w:w="4977" w:type="dxa"/>
            <w:shd w:val="clear" w:color="auto" w:fill="auto"/>
          </w:tcPr>
          <w:p w:rsidR="008A54C2" w:rsidRPr="00720EAE" w:rsidRDefault="008A54C2" w:rsidP="008A54C2">
            <w:pPr>
              <w:autoSpaceDE w:val="0"/>
              <w:rPr>
                <w:rFonts w:ascii="Times New Roman CYR" w:eastAsia="Times New Roman CYR" w:hAnsi="Times New Roman CYR" w:cs="Times New Roman CYR"/>
                <w:color w:val="000000"/>
                <w:sz w:val="20"/>
                <w:szCs w:val="20"/>
              </w:rPr>
            </w:pPr>
            <w:r w:rsidRPr="00720EAE">
              <w:rPr>
                <w:rFonts w:ascii="Times New Roman CYR" w:eastAsia="Times New Roman CYR" w:hAnsi="Times New Roman CYR" w:cs="Times New Roman CYR"/>
                <w:color w:val="000000"/>
                <w:sz w:val="20"/>
                <w:szCs w:val="20"/>
              </w:rPr>
              <w:t>1.3. Место нахождения эмитента</w:t>
            </w:r>
          </w:p>
        </w:tc>
        <w:tc>
          <w:tcPr>
            <w:tcW w:w="5797" w:type="dxa"/>
            <w:shd w:val="clear" w:color="auto" w:fill="auto"/>
          </w:tcPr>
          <w:p w:rsidR="008A54C2" w:rsidRPr="00720EAE" w:rsidRDefault="007449AE" w:rsidP="008A54C2">
            <w:pPr>
              <w:rPr>
                <w:b/>
                <w:bCs/>
                <w:i/>
                <w:iCs/>
                <w:sz w:val="20"/>
                <w:szCs w:val="20"/>
              </w:rPr>
            </w:pPr>
            <w:r>
              <w:rPr>
                <w:b/>
                <w:bCs/>
                <w:i/>
                <w:iCs/>
                <w:sz w:val="20"/>
                <w:szCs w:val="20"/>
              </w:rPr>
              <w:t xml:space="preserve">Российская Федерация, </w:t>
            </w:r>
            <w:proofErr w:type="spellStart"/>
            <w:r>
              <w:rPr>
                <w:b/>
                <w:bCs/>
                <w:i/>
                <w:iCs/>
                <w:sz w:val="20"/>
                <w:szCs w:val="20"/>
              </w:rPr>
              <w:t>г.Москва</w:t>
            </w:r>
            <w:proofErr w:type="spellEnd"/>
          </w:p>
        </w:tc>
      </w:tr>
      <w:tr w:rsidR="000F1864" w:rsidTr="007449AE">
        <w:tc>
          <w:tcPr>
            <w:tcW w:w="4977" w:type="dxa"/>
            <w:shd w:val="clear" w:color="auto" w:fill="auto"/>
          </w:tcPr>
          <w:p w:rsidR="008A54C2" w:rsidRPr="00720EAE" w:rsidRDefault="008A54C2" w:rsidP="008A54C2">
            <w:pPr>
              <w:autoSpaceDE w:val="0"/>
              <w:rPr>
                <w:rFonts w:ascii="Times New Roman CYR" w:eastAsia="Times New Roman CYR" w:hAnsi="Times New Roman CYR" w:cs="Times New Roman CYR"/>
                <w:color w:val="000000"/>
                <w:sz w:val="20"/>
                <w:szCs w:val="20"/>
              </w:rPr>
            </w:pPr>
            <w:r w:rsidRPr="00720EAE">
              <w:rPr>
                <w:rFonts w:ascii="Times New Roman CYR" w:eastAsia="Times New Roman CYR" w:hAnsi="Times New Roman CYR" w:cs="Times New Roman CYR"/>
                <w:color w:val="000000"/>
                <w:sz w:val="20"/>
                <w:szCs w:val="20"/>
              </w:rPr>
              <w:t xml:space="preserve">1.4. ОГРН эмитента                 </w:t>
            </w:r>
          </w:p>
        </w:tc>
        <w:tc>
          <w:tcPr>
            <w:tcW w:w="5797" w:type="dxa"/>
            <w:shd w:val="clear" w:color="auto" w:fill="auto"/>
          </w:tcPr>
          <w:p w:rsidR="008A54C2" w:rsidRPr="00720EAE" w:rsidRDefault="008A54C2" w:rsidP="008A54C2">
            <w:pPr>
              <w:pStyle w:val="prilozhenie"/>
              <w:ind w:firstLine="0"/>
              <w:rPr>
                <w:b/>
                <w:bCs/>
                <w:i/>
                <w:iCs/>
                <w:sz w:val="20"/>
                <w:szCs w:val="20"/>
              </w:rPr>
            </w:pPr>
            <w:r w:rsidRPr="00720EAE">
              <w:rPr>
                <w:b/>
                <w:bCs/>
                <w:i/>
                <w:iCs/>
                <w:sz w:val="20"/>
                <w:szCs w:val="20"/>
              </w:rPr>
              <w:t>1077761976852</w:t>
            </w:r>
          </w:p>
        </w:tc>
      </w:tr>
      <w:tr w:rsidR="000F1864" w:rsidTr="007449AE">
        <w:tc>
          <w:tcPr>
            <w:tcW w:w="4977" w:type="dxa"/>
            <w:shd w:val="clear" w:color="auto" w:fill="auto"/>
          </w:tcPr>
          <w:p w:rsidR="008A54C2" w:rsidRPr="00720EAE" w:rsidRDefault="008A54C2" w:rsidP="008A54C2">
            <w:pPr>
              <w:autoSpaceDE w:val="0"/>
              <w:rPr>
                <w:rFonts w:ascii="Times New Roman CYR" w:eastAsia="Times New Roman CYR" w:hAnsi="Times New Roman CYR" w:cs="Times New Roman CYR"/>
                <w:color w:val="000000"/>
                <w:sz w:val="20"/>
                <w:szCs w:val="20"/>
              </w:rPr>
            </w:pPr>
            <w:r w:rsidRPr="00720EAE">
              <w:rPr>
                <w:rFonts w:ascii="Times New Roman CYR" w:eastAsia="Times New Roman CYR" w:hAnsi="Times New Roman CYR" w:cs="Times New Roman CYR"/>
                <w:color w:val="000000"/>
                <w:sz w:val="20"/>
                <w:szCs w:val="20"/>
              </w:rPr>
              <w:t xml:space="preserve">1.5. ИНН эмитента                  </w:t>
            </w:r>
          </w:p>
        </w:tc>
        <w:tc>
          <w:tcPr>
            <w:tcW w:w="5797" w:type="dxa"/>
            <w:shd w:val="clear" w:color="auto" w:fill="auto"/>
          </w:tcPr>
          <w:p w:rsidR="008A54C2" w:rsidRPr="00720EAE" w:rsidRDefault="008A54C2" w:rsidP="008A54C2">
            <w:pPr>
              <w:pStyle w:val="prilozhenie"/>
              <w:ind w:firstLine="0"/>
              <w:rPr>
                <w:b/>
                <w:bCs/>
                <w:i/>
                <w:iCs/>
                <w:sz w:val="20"/>
                <w:szCs w:val="20"/>
              </w:rPr>
            </w:pPr>
            <w:r w:rsidRPr="00720EAE">
              <w:rPr>
                <w:b/>
                <w:bCs/>
                <w:i/>
                <w:iCs/>
                <w:sz w:val="20"/>
                <w:szCs w:val="20"/>
              </w:rPr>
              <w:t>7714716995</w:t>
            </w:r>
          </w:p>
        </w:tc>
      </w:tr>
      <w:tr w:rsidR="000F1864" w:rsidTr="007449AE">
        <w:tc>
          <w:tcPr>
            <w:tcW w:w="4977" w:type="dxa"/>
            <w:shd w:val="clear" w:color="auto" w:fill="auto"/>
          </w:tcPr>
          <w:p w:rsidR="008A54C2" w:rsidRPr="00720EAE" w:rsidRDefault="008A54C2" w:rsidP="008A54C2">
            <w:pPr>
              <w:autoSpaceDE w:val="0"/>
              <w:rPr>
                <w:rFonts w:ascii="Times New Roman CYR" w:eastAsia="Times New Roman CYR" w:hAnsi="Times New Roman CYR" w:cs="Times New Roman CYR"/>
                <w:color w:val="000000"/>
                <w:sz w:val="20"/>
                <w:szCs w:val="20"/>
              </w:rPr>
            </w:pPr>
            <w:r w:rsidRPr="00720EAE">
              <w:rPr>
                <w:rFonts w:ascii="Times New Roman CYR" w:eastAsia="Times New Roman CYR" w:hAnsi="Times New Roman CYR" w:cs="Times New Roman CYR"/>
                <w:color w:val="000000"/>
                <w:sz w:val="20"/>
                <w:szCs w:val="20"/>
              </w:rPr>
              <w:t xml:space="preserve">1.6. Уникальный   код   эмитента, присвоенный регистрирующим органом                                  </w:t>
            </w:r>
          </w:p>
        </w:tc>
        <w:tc>
          <w:tcPr>
            <w:tcW w:w="5797" w:type="dxa"/>
            <w:shd w:val="clear" w:color="auto" w:fill="auto"/>
          </w:tcPr>
          <w:p w:rsidR="008A54C2" w:rsidRPr="00720EAE" w:rsidRDefault="008A54C2" w:rsidP="008A54C2">
            <w:pPr>
              <w:rPr>
                <w:b/>
                <w:bCs/>
                <w:i/>
                <w:iCs/>
                <w:color w:val="000000"/>
                <w:sz w:val="20"/>
                <w:szCs w:val="20"/>
              </w:rPr>
            </w:pPr>
            <w:r w:rsidRPr="00720EAE">
              <w:rPr>
                <w:b/>
                <w:bCs/>
                <w:i/>
                <w:iCs/>
                <w:color w:val="000000"/>
                <w:sz w:val="20"/>
                <w:szCs w:val="20"/>
              </w:rPr>
              <w:t>12689-А</w:t>
            </w:r>
          </w:p>
        </w:tc>
      </w:tr>
      <w:tr w:rsidR="000F1864" w:rsidTr="007449AE">
        <w:tc>
          <w:tcPr>
            <w:tcW w:w="4977" w:type="dxa"/>
            <w:shd w:val="clear" w:color="auto" w:fill="auto"/>
          </w:tcPr>
          <w:p w:rsidR="008A54C2" w:rsidRPr="00720EAE" w:rsidRDefault="008A54C2" w:rsidP="008A54C2">
            <w:pPr>
              <w:autoSpaceDE w:val="0"/>
              <w:rPr>
                <w:rFonts w:ascii="Times New Roman CYR" w:eastAsia="Times New Roman CYR" w:hAnsi="Times New Roman CYR" w:cs="Times New Roman CYR"/>
                <w:color w:val="000000"/>
                <w:sz w:val="20"/>
                <w:szCs w:val="20"/>
              </w:rPr>
            </w:pPr>
            <w:r w:rsidRPr="00720EAE">
              <w:rPr>
                <w:rFonts w:ascii="Times New Roman CYR" w:eastAsia="Times New Roman CYR" w:hAnsi="Times New Roman CYR" w:cs="Times New Roman CYR"/>
                <w:color w:val="000000"/>
                <w:sz w:val="20"/>
                <w:szCs w:val="20"/>
              </w:rPr>
              <w:t xml:space="preserve">1.7. Адрес страницы в сети Интернет, используемой   эмитентом для раскрытия информации           </w:t>
            </w:r>
          </w:p>
        </w:tc>
        <w:tc>
          <w:tcPr>
            <w:tcW w:w="5797" w:type="dxa"/>
            <w:shd w:val="clear" w:color="auto" w:fill="auto"/>
          </w:tcPr>
          <w:p w:rsidR="008A54C2" w:rsidRPr="00720EAE" w:rsidRDefault="008A54C2" w:rsidP="008A54C2">
            <w:pPr>
              <w:rPr>
                <w:b/>
                <w:i/>
                <w:color w:val="000000"/>
                <w:sz w:val="20"/>
                <w:szCs w:val="20"/>
              </w:rPr>
            </w:pPr>
            <w:r w:rsidRPr="00720EAE">
              <w:rPr>
                <w:b/>
                <w:bCs/>
                <w:i/>
                <w:color w:val="000000"/>
                <w:sz w:val="20"/>
                <w:szCs w:val="20"/>
                <w:lang w:val="en-US"/>
              </w:rPr>
              <w:t>http</w:t>
            </w:r>
            <w:r w:rsidRPr="00720EAE">
              <w:rPr>
                <w:b/>
                <w:bCs/>
                <w:i/>
                <w:color w:val="000000"/>
                <w:sz w:val="20"/>
                <w:szCs w:val="20"/>
              </w:rPr>
              <w:t>://</w:t>
            </w:r>
            <w:r w:rsidRPr="00720EAE">
              <w:rPr>
                <w:b/>
                <w:bCs/>
                <w:i/>
                <w:color w:val="000000"/>
                <w:sz w:val="20"/>
                <w:szCs w:val="20"/>
                <w:lang w:val="en-US"/>
              </w:rPr>
              <w:t>w</w:t>
            </w:r>
            <w:hyperlink r:id="rId5" w:history="1">
              <w:r w:rsidRPr="00720EAE">
                <w:rPr>
                  <w:rStyle w:val="a3"/>
                  <w:b/>
                  <w:i/>
                  <w:color w:val="000000"/>
                  <w:sz w:val="20"/>
                  <w:szCs w:val="20"/>
                  <w:u w:val="none"/>
                </w:rPr>
                <w:t>ww.oaonsv.ru</w:t>
              </w:r>
            </w:hyperlink>
          </w:p>
          <w:p w:rsidR="008A54C2" w:rsidRPr="00720EAE" w:rsidRDefault="006D1B84" w:rsidP="008A54C2">
            <w:pPr>
              <w:rPr>
                <w:b/>
                <w:i/>
                <w:color w:val="000000"/>
                <w:sz w:val="20"/>
                <w:szCs w:val="20"/>
              </w:rPr>
            </w:pPr>
            <w:hyperlink r:id="rId6" w:history="1">
              <w:r w:rsidR="008A54C2" w:rsidRPr="00720EAE">
                <w:rPr>
                  <w:rStyle w:val="a3"/>
                  <w:b/>
                  <w:i/>
                  <w:color w:val="000000"/>
                  <w:sz w:val="20"/>
                  <w:szCs w:val="20"/>
                  <w:u w:val="none"/>
                  <w:lang w:val="en-US"/>
                </w:rPr>
                <w:t>http</w:t>
              </w:r>
              <w:r w:rsidR="008A54C2" w:rsidRPr="00720EAE">
                <w:rPr>
                  <w:rStyle w:val="a3"/>
                  <w:b/>
                  <w:i/>
                  <w:color w:val="000000"/>
                  <w:sz w:val="20"/>
                  <w:szCs w:val="20"/>
                  <w:u w:val="none"/>
                </w:rPr>
                <w:t>://</w:t>
              </w:r>
              <w:r w:rsidR="008A54C2" w:rsidRPr="00720EAE">
                <w:rPr>
                  <w:rStyle w:val="a3"/>
                  <w:b/>
                  <w:i/>
                  <w:color w:val="000000"/>
                  <w:sz w:val="20"/>
                  <w:szCs w:val="20"/>
                  <w:u w:val="none"/>
                  <w:lang w:val="en-US"/>
                </w:rPr>
                <w:t>www</w:t>
              </w:r>
              <w:r w:rsidR="008A54C2" w:rsidRPr="00720EAE">
                <w:rPr>
                  <w:rStyle w:val="a3"/>
                  <w:b/>
                  <w:i/>
                  <w:color w:val="000000"/>
                  <w:sz w:val="20"/>
                  <w:szCs w:val="20"/>
                  <w:u w:val="none"/>
                </w:rPr>
                <w:t>.</w:t>
              </w:r>
              <w:r w:rsidR="008A54C2" w:rsidRPr="00720EAE">
                <w:rPr>
                  <w:rStyle w:val="a3"/>
                  <w:b/>
                  <w:i/>
                  <w:color w:val="000000"/>
                  <w:sz w:val="20"/>
                  <w:szCs w:val="20"/>
                  <w:u w:val="none"/>
                  <w:lang w:val="en-US"/>
                </w:rPr>
                <w:t>e</w:t>
              </w:r>
              <w:r w:rsidR="008A54C2" w:rsidRPr="00720EAE">
                <w:rPr>
                  <w:rStyle w:val="a3"/>
                  <w:b/>
                  <w:i/>
                  <w:color w:val="000000"/>
                  <w:sz w:val="20"/>
                  <w:szCs w:val="20"/>
                  <w:u w:val="none"/>
                </w:rPr>
                <w:t>-</w:t>
              </w:r>
              <w:r w:rsidR="008A54C2" w:rsidRPr="00720EAE">
                <w:rPr>
                  <w:rStyle w:val="a3"/>
                  <w:b/>
                  <w:i/>
                  <w:color w:val="000000"/>
                  <w:sz w:val="20"/>
                  <w:szCs w:val="20"/>
                  <w:u w:val="none"/>
                  <w:lang w:val="en-US"/>
                </w:rPr>
                <w:t>disclosure</w:t>
              </w:r>
              <w:r w:rsidR="008A54C2" w:rsidRPr="00720EAE">
                <w:rPr>
                  <w:rStyle w:val="a3"/>
                  <w:b/>
                  <w:i/>
                  <w:color w:val="000000"/>
                  <w:sz w:val="20"/>
                  <w:szCs w:val="20"/>
                  <w:u w:val="none"/>
                </w:rPr>
                <w:t>.</w:t>
              </w:r>
              <w:proofErr w:type="spellStart"/>
              <w:r w:rsidR="008A54C2" w:rsidRPr="00720EAE">
                <w:rPr>
                  <w:rStyle w:val="a3"/>
                  <w:b/>
                  <w:i/>
                  <w:color w:val="000000"/>
                  <w:sz w:val="20"/>
                  <w:szCs w:val="20"/>
                  <w:u w:val="none"/>
                  <w:lang w:val="en-US"/>
                </w:rPr>
                <w:t>ru</w:t>
              </w:r>
              <w:proofErr w:type="spellEnd"/>
              <w:r w:rsidR="008A54C2" w:rsidRPr="00720EAE">
                <w:rPr>
                  <w:rStyle w:val="a3"/>
                  <w:b/>
                  <w:i/>
                  <w:color w:val="000000"/>
                  <w:sz w:val="20"/>
                  <w:szCs w:val="20"/>
                  <w:u w:val="none"/>
                </w:rPr>
                <w:t>/</w:t>
              </w:r>
              <w:r w:rsidR="008A54C2" w:rsidRPr="00720EAE">
                <w:rPr>
                  <w:rStyle w:val="a3"/>
                  <w:b/>
                  <w:i/>
                  <w:color w:val="000000"/>
                  <w:sz w:val="20"/>
                  <w:szCs w:val="20"/>
                  <w:u w:val="none"/>
                  <w:lang w:val="en-US"/>
                </w:rPr>
                <w:t>portal</w:t>
              </w:r>
              <w:r w:rsidR="008A54C2" w:rsidRPr="00720EAE">
                <w:rPr>
                  <w:rStyle w:val="a3"/>
                  <w:b/>
                  <w:i/>
                  <w:color w:val="000000"/>
                  <w:sz w:val="20"/>
                  <w:szCs w:val="20"/>
                  <w:u w:val="none"/>
                </w:rPr>
                <w:t>/</w:t>
              </w:r>
              <w:r w:rsidR="008A54C2" w:rsidRPr="00720EAE">
                <w:rPr>
                  <w:rStyle w:val="a3"/>
                  <w:b/>
                  <w:i/>
                  <w:color w:val="000000"/>
                  <w:sz w:val="20"/>
                  <w:szCs w:val="20"/>
                  <w:u w:val="none"/>
                  <w:lang w:val="en-US"/>
                </w:rPr>
                <w:t>company</w:t>
              </w:r>
              <w:r w:rsidR="008A54C2" w:rsidRPr="00720EAE">
                <w:rPr>
                  <w:rStyle w:val="a3"/>
                  <w:b/>
                  <w:i/>
                  <w:color w:val="000000"/>
                  <w:sz w:val="20"/>
                  <w:szCs w:val="20"/>
                  <w:u w:val="none"/>
                </w:rPr>
                <w:t>.</w:t>
              </w:r>
              <w:proofErr w:type="spellStart"/>
              <w:r w:rsidR="008A54C2" w:rsidRPr="00720EAE">
                <w:rPr>
                  <w:rStyle w:val="a3"/>
                  <w:b/>
                  <w:i/>
                  <w:color w:val="000000"/>
                  <w:sz w:val="20"/>
                  <w:szCs w:val="20"/>
                  <w:u w:val="none"/>
                  <w:lang w:val="en-US"/>
                </w:rPr>
                <w:t>aspx</w:t>
              </w:r>
              <w:proofErr w:type="spellEnd"/>
              <w:r w:rsidR="008A54C2" w:rsidRPr="00720EAE">
                <w:rPr>
                  <w:rStyle w:val="a3"/>
                  <w:b/>
                  <w:i/>
                  <w:color w:val="000000"/>
                  <w:sz w:val="20"/>
                  <w:szCs w:val="20"/>
                  <w:u w:val="none"/>
                </w:rPr>
                <w:t>?</w:t>
              </w:r>
              <w:r w:rsidR="008A54C2" w:rsidRPr="00720EAE">
                <w:rPr>
                  <w:rStyle w:val="a3"/>
                  <w:b/>
                  <w:i/>
                  <w:color w:val="000000"/>
                  <w:sz w:val="20"/>
                  <w:szCs w:val="20"/>
                  <w:u w:val="none"/>
                  <w:lang w:val="en-US"/>
                </w:rPr>
                <w:t>id</w:t>
              </w:r>
              <w:r w:rsidR="008A54C2" w:rsidRPr="00720EAE">
                <w:rPr>
                  <w:rStyle w:val="a3"/>
                  <w:b/>
                  <w:i/>
                  <w:color w:val="000000"/>
                  <w:sz w:val="20"/>
                  <w:szCs w:val="20"/>
                  <w:u w:val="none"/>
                </w:rPr>
                <w:t>=20639</w:t>
              </w:r>
            </w:hyperlink>
            <w:r w:rsidR="008A54C2" w:rsidRPr="00720EAE">
              <w:rPr>
                <w:b/>
                <w:i/>
                <w:color w:val="000000"/>
                <w:sz w:val="20"/>
                <w:szCs w:val="20"/>
              </w:rPr>
              <w:t xml:space="preserve"> </w:t>
            </w:r>
          </w:p>
          <w:p w:rsidR="008A54C2" w:rsidRPr="00720EAE" w:rsidRDefault="008A54C2" w:rsidP="008A54C2">
            <w:pPr>
              <w:ind w:left="57"/>
              <w:rPr>
                <w:b/>
                <w:bCs/>
                <w:i/>
                <w:color w:val="000000"/>
                <w:sz w:val="20"/>
                <w:szCs w:val="20"/>
              </w:rPr>
            </w:pPr>
          </w:p>
        </w:tc>
      </w:tr>
      <w:tr w:rsidR="007449AE" w:rsidTr="007449AE">
        <w:tc>
          <w:tcPr>
            <w:tcW w:w="4977" w:type="dxa"/>
            <w:shd w:val="clear" w:color="auto" w:fill="auto"/>
          </w:tcPr>
          <w:p w:rsidR="007449AE" w:rsidRPr="007449AE" w:rsidRDefault="007449AE" w:rsidP="008A54C2">
            <w:pPr>
              <w:autoSpaceDE w:val="0"/>
              <w:rPr>
                <w:rFonts w:ascii="Times New Roman CYR" w:eastAsia="Times New Roman CYR" w:hAnsi="Times New Roman CYR" w:cs="Times New Roman CYR"/>
                <w:color w:val="000000"/>
                <w:sz w:val="20"/>
                <w:szCs w:val="20"/>
              </w:rPr>
            </w:pPr>
            <w:r w:rsidRPr="007449AE">
              <w:rPr>
                <w:rFonts w:ascii="Times New Roman CYR" w:eastAsia="Times New Roman CYR" w:hAnsi="Times New Roman CYR" w:cs="Times New Roman CYR"/>
                <w:color w:val="000000"/>
                <w:sz w:val="20"/>
                <w:szCs w:val="20"/>
              </w:rPr>
              <w:t>1.8.</w:t>
            </w:r>
            <w:r w:rsidRPr="007449AE">
              <w:rPr>
                <w:rFonts w:ascii="Times New Roman CYR" w:eastAsia="Calibri" w:hAnsi="Times New Roman CYR" w:cs="Times New Roman CYR"/>
                <w:sz w:val="20"/>
                <w:szCs w:val="20"/>
                <w:lang w:eastAsia="en-US" w:bidi="ar-SA"/>
              </w:rPr>
              <w:t xml:space="preserve"> Дата наступления события (существенного факта), о котором составлено сообщение</w:t>
            </w:r>
          </w:p>
        </w:tc>
        <w:tc>
          <w:tcPr>
            <w:tcW w:w="5797" w:type="dxa"/>
            <w:shd w:val="clear" w:color="auto" w:fill="auto"/>
          </w:tcPr>
          <w:p w:rsidR="007449AE" w:rsidRPr="007449AE" w:rsidRDefault="00FA0488" w:rsidP="008A54C2">
            <w:pPr>
              <w:rPr>
                <w:b/>
                <w:bCs/>
                <w:i/>
                <w:color w:val="000000"/>
                <w:sz w:val="20"/>
                <w:szCs w:val="20"/>
              </w:rPr>
            </w:pPr>
            <w:r>
              <w:rPr>
                <w:b/>
                <w:bCs/>
                <w:i/>
                <w:color w:val="000000"/>
                <w:sz w:val="20"/>
                <w:szCs w:val="20"/>
              </w:rPr>
              <w:t>02</w:t>
            </w:r>
            <w:r w:rsidR="00A6044C">
              <w:rPr>
                <w:b/>
                <w:bCs/>
                <w:i/>
                <w:color w:val="000000"/>
                <w:sz w:val="20"/>
                <w:szCs w:val="20"/>
              </w:rPr>
              <w:t>.</w:t>
            </w:r>
            <w:r>
              <w:rPr>
                <w:b/>
                <w:bCs/>
                <w:i/>
                <w:color w:val="000000"/>
                <w:sz w:val="20"/>
                <w:szCs w:val="20"/>
              </w:rPr>
              <w:t>06.2020</w:t>
            </w:r>
            <w:r w:rsidR="007449AE">
              <w:rPr>
                <w:b/>
                <w:bCs/>
                <w:i/>
                <w:color w:val="000000"/>
                <w:sz w:val="20"/>
                <w:szCs w:val="20"/>
              </w:rPr>
              <w:t xml:space="preserve"> г.</w:t>
            </w:r>
          </w:p>
        </w:tc>
      </w:tr>
    </w:tbl>
    <w:p w:rsidR="002B5C71" w:rsidRPr="00F00612" w:rsidRDefault="002B5C71">
      <w:pPr>
        <w:autoSpaceDE w:val="0"/>
        <w:jc w:val="both"/>
        <w:rPr>
          <w:rFonts w:ascii="Courier New CYR" w:eastAsia="Courier New CYR" w:hAnsi="Courier New CYR" w:cs="Courier New CYR"/>
          <w:color w:val="000000"/>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4"/>
      </w:tblGrid>
      <w:tr w:rsidR="002B5C71" w:rsidRPr="00F00612" w:rsidTr="008A54C2">
        <w:trPr>
          <w:trHeight w:val="180"/>
        </w:trPr>
        <w:tc>
          <w:tcPr>
            <w:tcW w:w="10774" w:type="dxa"/>
            <w:shd w:val="clear" w:color="auto" w:fill="auto"/>
          </w:tcPr>
          <w:p w:rsidR="002B5C71" w:rsidRPr="00F00612" w:rsidRDefault="002B5C71" w:rsidP="0097237C">
            <w:pPr>
              <w:autoSpaceDE w:val="0"/>
              <w:jc w:val="center"/>
              <w:rPr>
                <w:rFonts w:ascii="Times New Roman CYR" w:eastAsia="Times New Roman CYR" w:hAnsi="Times New Roman CYR" w:cs="Times New Roman CYR"/>
                <w:b/>
                <w:bCs/>
                <w:color w:val="000000"/>
                <w:sz w:val="22"/>
                <w:szCs w:val="22"/>
              </w:rPr>
            </w:pPr>
            <w:r w:rsidRPr="00F00612">
              <w:rPr>
                <w:rFonts w:ascii="Times New Roman CYR" w:eastAsia="Times New Roman CYR" w:hAnsi="Times New Roman CYR" w:cs="Times New Roman CYR"/>
                <w:b/>
                <w:bCs/>
                <w:color w:val="000000"/>
                <w:sz w:val="22"/>
                <w:szCs w:val="22"/>
              </w:rPr>
              <w:t>2. Содержание сообщения</w:t>
            </w:r>
          </w:p>
        </w:tc>
      </w:tr>
      <w:tr w:rsidR="008A54C2" w:rsidRPr="00F00612" w:rsidTr="008A54C2">
        <w:trPr>
          <w:trHeight w:val="180"/>
        </w:trPr>
        <w:tc>
          <w:tcPr>
            <w:tcW w:w="10774" w:type="dxa"/>
            <w:shd w:val="clear" w:color="auto" w:fill="auto"/>
          </w:tcPr>
          <w:p w:rsidR="00720EAE" w:rsidRPr="00AB6D56" w:rsidRDefault="00720EAE" w:rsidP="00720EAE">
            <w:pPr>
              <w:autoSpaceDE w:val="0"/>
              <w:autoSpaceDN w:val="0"/>
              <w:adjustRightInd w:val="0"/>
              <w:jc w:val="both"/>
              <w:outlineLvl w:val="3"/>
              <w:rPr>
                <w:color w:val="000000"/>
                <w:sz w:val="20"/>
                <w:szCs w:val="20"/>
              </w:rPr>
            </w:pPr>
            <w:r w:rsidRPr="00AB6D56">
              <w:rPr>
                <w:color w:val="000000"/>
                <w:sz w:val="20"/>
                <w:szCs w:val="20"/>
              </w:rPr>
              <w:t xml:space="preserve">2.1. </w:t>
            </w:r>
            <w:r>
              <w:rPr>
                <w:color w:val="000000"/>
                <w:sz w:val="20"/>
                <w:szCs w:val="20"/>
              </w:rPr>
              <w:t>Вид Общего собрания акционеров П</w:t>
            </w:r>
            <w:r w:rsidRPr="00AB6D56">
              <w:rPr>
                <w:color w:val="000000"/>
                <w:sz w:val="20"/>
                <w:szCs w:val="20"/>
              </w:rPr>
              <w:t xml:space="preserve">АО «Наука-Связь»: </w:t>
            </w:r>
            <w:r w:rsidR="00BB76DB">
              <w:rPr>
                <w:b/>
                <w:i/>
                <w:color w:val="000000"/>
                <w:sz w:val="20"/>
                <w:szCs w:val="20"/>
              </w:rPr>
              <w:t>Внеочередное</w:t>
            </w:r>
            <w:r>
              <w:rPr>
                <w:b/>
                <w:i/>
                <w:color w:val="000000"/>
                <w:sz w:val="20"/>
                <w:szCs w:val="20"/>
              </w:rPr>
              <w:t xml:space="preserve"> </w:t>
            </w:r>
            <w:r w:rsidRPr="00AB6D56">
              <w:rPr>
                <w:b/>
                <w:i/>
                <w:color w:val="000000"/>
                <w:sz w:val="20"/>
                <w:szCs w:val="20"/>
              </w:rPr>
              <w:t>Общее собрание акционеров.</w:t>
            </w:r>
          </w:p>
          <w:p w:rsidR="00BB76DB" w:rsidRPr="00BB76DB" w:rsidRDefault="00BB76DB" w:rsidP="00BB76DB">
            <w:pPr>
              <w:autoSpaceDE w:val="0"/>
              <w:autoSpaceDN w:val="0"/>
              <w:adjustRightInd w:val="0"/>
              <w:jc w:val="both"/>
              <w:outlineLvl w:val="3"/>
              <w:rPr>
                <w:b/>
                <w:i/>
                <w:color w:val="000000"/>
                <w:sz w:val="20"/>
                <w:szCs w:val="20"/>
              </w:rPr>
            </w:pPr>
            <w:r w:rsidRPr="00BB76DB">
              <w:rPr>
                <w:color w:val="000000"/>
                <w:sz w:val="20"/>
                <w:szCs w:val="20"/>
              </w:rPr>
              <w:t xml:space="preserve">2.2. Форма проведения Общего собрания акционеров ПАО «Наука-Связь»: </w:t>
            </w:r>
            <w:r w:rsidRPr="00BB76DB">
              <w:rPr>
                <w:b/>
                <w:i/>
                <w:color w:val="000000"/>
                <w:sz w:val="20"/>
                <w:szCs w:val="20"/>
              </w:rPr>
              <w:t>заочное голосование.</w:t>
            </w:r>
          </w:p>
          <w:p w:rsidR="00720EAE" w:rsidRPr="00BB76DB" w:rsidRDefault="00BB76DB" w:rsidP="00720EAE">
            <w:pPr>
              <w:autoSpaceDE w:val="0"/>
              <w:autoSpaceDN w:val="0"/>
              <w:adjustRightInd w:val="0"/>
              <w:jc w:val="both"/>
              <w:outlineLvl w:val="3"/>
              <w:rPr>
                <w:b/>
                <w:bCs/>
                <w:i/>
                <w:iCs/>
                <w:color w:val="000000"/>
                <w:sz w:val="20"/>
                <w:szCs w:val="20"/>
              </w:rPr>
            </w:pPr>
            <w:r w:rsidRPr="00BB76DB">
              <w:rPr>
                <w:color w:val="000000"/>
                <w:sz w:val="20"/>
                <w:szCs w:val="20"/>
              </w:rPr>
              <w:t xml:space="preserve">2.3. Дата, место, время проведения Общего собрания акционеров ПАО «Наука-Связь»: </w:t>
            </w:r>
            <w:r w:rsidRPr="00BB76DB">
              <w:rPr>
                <w:b/>
                <w:i/>
                <w:iCs/>
                <w:color w:val="000000"/>
                <w:sz w:val="20"/>
                <w:szCs w:val="20"/>
              </w:rPr>
              <w:t>дата проведения общего собрания (дата окончания приема заполненных бюлл</w:t>
            </w:r>
            <w:r w:rsidR="00E002D9">
              <w:rPr>
                <w:b/>
                <w:i/>
                <w:iCs/>
                <w:color w:val="000000"/>
                <w:sz w:val="20"/>
                <w:szCs w:val="20"/>
              </w:rPr>
              <w:t xml:space="preserve">етеней): </w:t>
            </w:r>
            <w:r w:rsidR="00A6044C">
              <w:rPr>
                <w:b/>
                <w:i/>
                <w:iCs/>
                <w:color w:val="000000"/>
                <w:sz w:val="20"/>
                <w:szCs w:val="20"/>
              </w:rPr>
              <w:t>«</w:t>
            </w:r>
            <w:r w:rsidR="00FA0488">
              <w:rPr>
                <w:b/>
                <w:i/>
                <w:iCs/>
                <w:color w:val="000000"/>
                <w:sz w:val="20"/>
                <w:szCs w:val="20"/>
              </w:rPr>
              <w:t>28</w:t>
            </w:r>
            <w:r w:rsidR="008F1757">
              <w:rPr>
                <w:b/>
                <w:i/>
                <w:iCs/>
                <w:color w:val="000000"/>
                <w:sz w:val="20"/>
                <w:szCs w:val="20"/>
              </w:rPr>
              <w:t xml:space="preserve">» </w:t>
            </w:r>
            <w:r w:rsidR="00FA0488">
              <w:rPr>
                <w:b/>
                <w:i/>
                <w:iCs/>
                <w:color w:val="000000"/>
                <w:sz w:val="20"/>
                <w:szCs w:val="20"/>
              </w:rPr>
              <w:t>мая</w:t>
            </w:r>
            <w:r w:rsidR="00B06DB5">
              <w:rPr>
                <w:b/>
                <w:i/>
                <w:iCs/>
                <w:color w:val="000000"/>
                <w:sz w:val="20"/>
                <w:szCs w:val="20"/>
              </w:rPr>
              <w:t xml:space="preserve"> </w:t>
            </w:r>
            <w:r w:rsidR="00FA0488">
              <w:rPr>
                <w:b/>
                <w:i/>
                <w:iCs/>
                <w:color w:val="000000"/>
                <w:sz w:val="20"/>
                <w:szCs w:val="20"/>
              </w:rPr>
              <w:t>2020</w:t>
            </w:r>
            <w:r w:rsidRPr="00BB76DB">
              <w:rPr>
                <w:b/>
                <w:i/>
                <w:iCs/>
                <w:color w:val="000000"/>
                <w:sz w:val="20"/>
                <w:szCs w:val="20"/>
              </w:rPr>
              <w:t xml:space="preserve">г., </w:t>
            </w:r>
            <w:r w:rsidRPr="00BB76DB">
              <w:rPr>
                <w:b/>
                <w:bCs/>
                <w:i/>
                <w:iCs/>
                <w:color w:val="000000"/>
                <w:sz w:val="20"/>
                <w:szCs w:val="20"/>
              </w:rPr>
              <w:t>почтовый адрес, по которому направлялись заполненные бюллетени: Российская Федерация, 127287, г. Москва, 2-я Хуторская ул., д.38А., строение 15, ПАО «Наука-Связь» (ВОСА).</w:t>
            </w:r>
          </w:p>
          <w:p w:rsidR="00720EAE" w:rsidRPr="00AB6D56" w:rsidRDefault="00720EAE" w:rsidP="00720EAE">
            <w:pPr>
              <w:autoSpaceDE w:val="0"/>
              <w:autoSpaceDN w:val="0"/>
              <w:adjustRightInd w:val="0"/>
              <w:jc w:val="both"/>
              <w:outlineLvl w:val="3"/>
              <w:rPr>
                <w:color w:val="000000"/>
                <w:sz w:val="20"/>
                <w:szCs w:val="20"/>
              </w:rPr>
            </w:pPr>
            <w:r w:rsidRPr="00AB6D56">
              <w:rPr>
                <w:color w:val="000000"/>
                <w:sz w:val="20"/>
                <w:szCs w:val="20"/>
              </w:rPr>
              <w:t>2.4. Кворум Общего собран</w:t>
            </w:r>
            <w:r>
              <w:rPr>
                <w:color w:val="000000"/>
                <w:sz w:val="20"/>
                <w:szCs w:val="20"/>
              </w:rPr>
              <w:t>ия акционеров П</w:t>
            </w:r>
            <w:r w:rsidRPr="00AB6D56">
              <w:rPr>
                <w:color w:val="000000"/>
                <w:sz w:val="20"/>
                <w:szCs w:val="20"/>
              </w:rPr>
              <w:t>АО «Наука-Связь»:</w:t>
            </w:r>
          </w:p>
          <w:p w:rsidR="00FA0488" w:rsidRPr="00FA0488" w:rsidRDefault="00FA0488" w:rsidP="00FA0488">
            <w:pPr>
              <w:rPr>
                <w:sz w:val="20"/>
                <w:szCs w:val="20"/>
              </w:rPr>
            </w:pPr>
            <w:r w:rsidRPr="00FA0488">
              <w:rPr>
                <w:bCs/>
                <w:sz w:val="20"/>
                <w:szCs w:val="20"/>
              </w:rPr>
              <w:t>Информация об участии в общем собрании акционеров - владельцев голосующих акций**: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9"/>
              <w:gridCol w:w="2286"/>
            </w:tblGrid>
            <w:tr w:rsidR="00FA0488" w:rsidRPr="00FA0488" w:rsidTr="00FA0488">
              <w:trPr>
                <w:cantSplit/>
                <w:trHeight w:val="408"/>
              </w:trPr>
              <w:tc>
                <w:tcPr>
                  <w:tcW w:w="8219" w:type="dxa"/>
                </w:tcPr>
                <w:p w:rsidR="00FA0488" w:rsidRPr="00FA0488" w:rsidRDefault="00FA0488" w:rsidP="00FA0488">
                  <w:pPr>
                    <w:rPr>
                      <w:sz w:val="20"/>
                      <w:szCs w:val="20"/>
                    </w:rPr>
                  </w:pPr>
                  <w:r w:rsidRPr="00FA0488">
                    <w:rPr>
                      <w:sz w:val="20"/>
                      <w:szCs w:val="20"/>
                    </w:rPr>
                    <w:t>Число голосов, которыми обладали лица, включенные в список лиц, имевших право на участие в общем собрании, по данному вопросу повестки дня общего собрания:</w:t>
                  </w:r>
                </w:p>
              </w:tc>
              <w:tc>
                <w:tcPr>
                  <w:tcW w:w="2286" w:type="dxa"/>
                  <w:vAlign w:val="bottom"/>
                </w:tcPr>
                <w:p w:rsidR="00FA0488" w:rsidRPr="00FA0488" w:rsidRDefault="00FA0488" w:rsidP="00FA0488">
                  <w:pPr>
                    <w:rPr>
                      <w:sz w:val="20"/>
                      <w:szCs w:val="20"/>
                      <w:lang w:val="en-US"/>
                    </w:rPr>
                  </w:pPr>
                  <w:r w:rsidRPr="00FA0488">
                    <w:rPr>
                      <w:sz w:val="20"/>
                      <w:szCs w:val="20"/>
                      <w:lang w:val="en-US"/>
                    </w:rPr>
                    <w:t>1 201 562</w:t>
                  </w:r>
                </w:p>
                <w:p w:rsidR="00FA0488" w:rsidRPr="00FA0488" w:rsidRDefault="00FA0488" w:rsidP="00FA0488">
                  <w:pPr>
                    <w:rPr>
                      <w:sz w:val="20"/>
                      <w:szCs w:val="20"/>
                      <w:lang w:val="en-US"/>
                    </w:rPr>
                  </w:pPr>
                </w:p>
              </w:tc>
            </w:tr>
            <w:tr w:rsidR="00FA0488" w:rsidRPr="00FA0488" w:rsidTr="00FA0488">
              <w:trPr>
                <w:cantSplit/>
                <w:trHeight w:val="620"/>
              </w:trPr>
              <w:tc>
                <w:tcPr>
                  <w:tcW w:w="8219" w:type="dxa"/>
                </w:tcPr>
                <w:p w:rsidR="00FA0488" w:rsidRPr="00FA0488" w:rsidRDefault="00FA0488" w:rsidP="00FA0488">
                  <w:pPr>
                    <w:rPr>
                      <w:sz w:val="20"/>
                      <w:szCs w:val="20"/>
                    </w:rPr>
                  </w:pPr>
                  <w:r w:rsidRPr="00FA0488">
                    <w:rPr>
                      <w:sz w:val="20"/>
                      <w:szCs w:val="20"/>
                    </w:rPr>
                    <w:t>Число голосов, приходившихся на голосующие акции общества по данному вопросу повестки дня общего собрания, определенное с учетом положений п. 4.24 Положения, утвержденного Банком России от 16.11.2018 г. № 660-П:</w:t>
                  </w:r>
                </w:p>
              </w:tc>
              <w:tc>
                <w:tcPr>
                  <w:tcW w:w="2286" w:type="dxa"/>
                  <w:vAlign w:val="bottom"/>
                </w:tcPr>
                <w:p w:rsidR="00FA0488" w:rsidRPr="00FA0488" w:rsidRDefault="00FA0488" w:rsidP="00FA0488">
                  <w:pPr>
                    <w:rPr>
                      <w:sz w:val="20"/>
                      <w:szCs w:val="20"/>
                      <w:lang w:val="en-US"/>
                    </w:rPr>
                  </w:pPr>
                  <w:r w:rsidRPr="00FA0488">
                    <w:rPr>
                      <w:sz w:val="20"/>
                      <w:szCs w:val="20"/>
                      <w:lang w:val="en-US"/>
                    </w:rPr>
                    <w:t>1 201 562</w:t>
                  </w:r>
                </w:p>
                <w:p w:rsidR="00FA0488" w:rsidRPr="00FA0488" w:rsidRDefault="00FA0488" w:rsidP="00FA0488">
                  <w:pPr>
                    <w:rPr>
                      <w:sz w:val="20"/>
                      <w:szCs w:val="20"/>
                      <w:lang w:val="en-US"/>
                    </w:rPr>
                  </w:pPr>
                </w:p>
              </w:tc>
            </w:tr>
            <w:tr w:rsidR="00FA0488" w:rsidRPr="00FA0488" w:rsidTr="00FA0488">
              <w:trPr>
                <w:cantSplit/>
                <w:trHeight w:val="408"/>
              </w:trPr>
              <w:tc>
                <w:tcPr>
                  <w:tcW w:w="8219" w:type="dxa"/>
                </w:tcPr>
                <w:p w:rsidR="00FA0488" w:rsidRPr="00FA0488" w:rsidRDefault="00FA0488" w:rsidP="00FA0488">
                  <w:pPr>
                    <w:rPr>
                      <w:sz w:val="20"/>
                      <w:szCs w:val="20"/>
                    </w:rPr>
                  </w:pPr>
                  <w:r w:rsidRPr="00FA0488">
                    <w:rPr>
                      <w:sz w:val="20"/>
                      <w:szCs w:val="20"/>
                    </w:rPr>
                    <w:t>Число голосов, которыми обладали лица, принявшие участие в общем собрании, по данному вопросу повестки дня общего собрания:</w:t>
                  </w:r>
                </w:p>
              </w:tc>
              <w:tc>
                <w:tcPr>
                  <w:tcW w:w="2286" w:type="dxa"/>
                  <w:vAlign w:val="bottom"/>
                </w:tcPr>
                <w:p w:rsidR="00FA0488" w:rsidRPr="00FA0488" w:rsidRDefault="00FA0488" w:rsidP="00FA0488">
                  <w:pPr>
                    <w:rPr>
                      <w:sz w:val="20"/>
                      <w:szCs w:val="20"/>
                    </w:rPr>
                  </w:pPr>
                  <w:r w:rsidRPr="00FA0488">
                    <w:rPr>
                      <w:sz w:val="20"/>
                      <w:szCs w:val="20"/>
                    </w:rPr>
                    <w:t xml:space="preserve"> 680 328</w:t>
                  </w:r>
                </w:p>
                <w:p w:rsidR="00FA0488" w:rsidRPr="00FA0488" w:rsidRDefault="00FA0488" w:rsidP="00FA0488">
                  <w:pPr>
                    <w:rPr>
                      <w:sz w:val="20"/>
                      <w:szCs w:val="20"/>
                    </w:rPr>
                  </w:pPr>
                </w:p>
              </w:tc>
            </w:tr>
            <w:tr w:rsidR="00FA0488" w:rsidRPr="00FA0488" w:rsidTr="00FA0488">
              <w:trPr>
                <w:cantSplit/>
                <w:trHeight w:val="196"/>
              </w:trPr>
              <w:tc>
                <w:tcPr>
                  <w:tcW w:w="8219" w:type="dxa"/>
                </w:tcPr>
                <w:p w:rsidR="00FA0488" w:rsidRPr="00FA0488" w:rsidRDefault="00FA0488" w:rsidP="00FA0488">
                  <w:pPr>
                    <w:rPr>
                      <w:sz w:val="20"/>
                      <w:szCs w:val="20"/>
                    </w:rPr>
                  </w:pPr>
                  <w:r w:rsidRPr="00FA0488">
                    <w:rPr>
                      <w:sz w:val="20"/>
                      <w:szCs w:val="20"/>
                    </w:rPr>
                    <w:t>Наличие кворума:</w:t>
                  </w:r>
                </w:p>
              </w:tc>
              <w:tc>
                <w:tcPr>
                  <w:tcW w:w="2286" w:type="dxa"/>
                  <w:vAlign w:val="bottom"/>
                </w:tcPr>
                <w:p w:rsidR="00FA0488" w:rsidRPr="00FA0488" w:rsidRDefault="00FA0488" w:rsidP="00FA0488">
                  <w:pPr>
                    <w:rPr>
                      <w:sz w:val="20"/>
                      <w:szCs w:val="20"/>
                    </w:rPr>
                  </w:pPr>
                  <w:r w:rsidRPr="00FA0488">
                    <w:rPr>
                      <w:sz w:val="20"/>
                      <w:szCs w:val="20"/>
                    </w:rPr>
                    <w:t>есть (56,62%)</w:t>
                  </w:r>
                </w:p>
              </w:tc>
            </w:tr>
          </w:tbl>
          <w:p w:rsidR="00FA0488" w:rsidRPr="00FA0488" w:rsidRDefault="00FA0488" w:rsidP="00FA0488">
            <w:pPr>
              <w:rPr>
                <w:sz w:val="20"/>
                <w:szCs w:val="20"/>
              </w:rPr>
            </w:pPr>
            <w:r w:rsidRPr="00FA0488">
              <w:rPr>
                <w:bCs/>
                <w:sz w:val="20"/>
                <w:szCs w:val="20"/>
              </w:rPr>
              <w:t>Информация об участии в общем собрании акционеров - владельцев голосующих акций, не заинтересованных в сделке**: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2"/>
              <w:gridCol w:w="2290"/>
            </w:tblGrid>
            <w:tr w:rsidR="00FA0488" w:rsidRPr="00FA0488" w:rsidTr="00FA0488">
              <w:trPr>
                <w:cantSplit/>
                <w:trHeight w:val="390"/>
              </w:trPr>
              <w:tc>
                <w:tcPr>
                  <w:tcW w:w="8232" w:type="dxa"/>
                </w:tcPr>
                <w:p w:rsidR="00FA0488" w:rsidRPr="00FA0488" w:rsidRDefault="00FA0488" w:rsidP="00FA0488">
                  <w:pPr>
                    <w:rPr>
                      <w:sz w:val="20"/>
                      <w:szCs w:val="20"/>
                    </w:rPr>
                  </w:pPr>
                  <w:r w:rsidRPr="00FA0488">
                    <w:rPr>
                      <w:sz w:val="20"/>
                      <w:szCs w:val="20"/>
                    </w:rPr>
                    <w:t>Число голосов, которыми по данному вопросу обладали лица, не заинтересованные в совершении обществом сделки, принявшие участие в общем собрании:</w:t>
                  </w:r>
                </w:p>
              </w:tc>
              <w:tc>
                <w:tcPr>
                  <w:tcW w:w="2290" w:type="dxa"/>
                  <w:vAlign w:val="bottom"/>
                </w:tcPr>
                <w:p w:rsidR="00FA0488" w:rsidRPr="00FA0488" w:rsidRDefault="00FA0488" w:rsidP="00FA0488">
                  <w:pPr>
                    <w:rPr>
                      <w:sz w:val="20"/>
                      <w:szCs w:val="20"/>
                    </w:rPr>
                  </w:pPr>
                  <w:r w:rsidRPr="00FA0488">
                    <w:rPr>
                      <w:sz w:val="20"/>
                      <w:szCs w:val="20"/>
                    </w:rPr>
                    <w:t xml:space="preserve"> 501 644</w:t>
                  </w:r>
                </w:p>
                <w:p w:rsidR="00FA0488" w:rsidRPr="00FA0488" w:rsidRDefault="00FA0488" w:rsidP="00FA0488">
                  <w:pPr>
                    <w:rPr>
                      <w:sz w:val="20"/>
                      <w:szCs w:val="20"/>
                    </w:rPr>
                  </w:pPr>
                </w:p>
              </w:tc>
            </w:tr>
          </w:tbl>
          <w:p w:rsidR="00FA0488" w:rsidRPr="00AB6D56" w:rsidRDefault="00FA0488" w:rsidP="00720EAE">
            <w:pPr>
              <w:rPr>
                <w:vanish/>
                <w:sz w:val="20"/>
                <w:szCs w:val="20"/>
              </w:rPr>
            </w:pPr>
          </w:p>
          <w:p w:rsidR="00720EAE" w:rsidRPr="00720EAE" w:rsidRDefault="00720EAE" w:rsidP="00720EAE">
            <w:pPr>
              <w:autoSpaceDE w:val="0"/>
              <w:autoSpaceDN w:val="0"/>
              <w:adjustRightInd w:val="0"/>
              <w:jc w:val="both"/>
              <w:outlineLvl w:val="3"/>
              <w:rPr>
                <w:color w:val="000000"/>
                <w:sz w:val="20"/>
                <w:szCs w:val="20"/>
              </w:rPr>
            </w:pPr>
            <w:r w:rsidRPr="00720EAE">
              <w:rPr>
                <w:color w:val="000000"/>
                <w:sz w:val="20"/>
                <w:szCs w:val="20"/>
              </w:rPr>
              <w:t>2.5. Повестка дня Общего собран</w:t>
            </w:r>
            <w:r>
              <w:rPr>
                <w:color w:val="000000"/>
                <w:sz w:val="20"/>
                <w:szCs w:val="20"/>
              </w:rPr>
              <w:t>ия акционеров П</w:t>
            </w:r>
            <w:r w:rsidRPr="00720EAE">
              <w:rPr>
                <w:color w:val="000000"/>
                <w:sz w:val="20"/>
                <w:szCs w:val="20"/>
              </w:rPr>
              <w:t>АО «Наука-Связь»:</w:t>
            </w:r>
          </w:p>
          <w:p w:rsidR="00FA0488" w:rsidRDefault="00FA0488" w:rsidP="00720EAE">
            <w:pPr>
              <w:autoSpaceDE w:val="0"/>
              <w:autoSpaceDN w:val="0"/>
              <w:adjustRightInd w:val="0"/>
              <w:jc w:val="both"/>
              <w:outlineLvl w:val="3"/>
              <w:rPr>
                <w:sz w:val="20"/>
                <w:szCs w:val="20"/>
                <w:lang w:bidi="ar-SA"/>
              </w:rPr>
            </w:pPr>
            <w:r w:rsidRPr="00FA0488">
              <w:rPr>
                <w:sz w:val="20"/>
                <w:szCs w:val="20"/>
                <w:lang w:bidi="ar-SA"/>
              </w:rPr>
              <w:t>О последующем одобрении крупной сделки, которая одновременно является сделкой, в совершении которой имеется заинтересованность членов Совета директоров Общества – Воронина Г.В., Калинина А.А., Кобызева С.О., Котельникова К.Ю., Никашкина Д.В., Руденко И.Ю., Семейко А.Л., Филькова А.Н., Чураковского В.А., а также Генерального директора Общества Калинина А.А. между ПАО «Наука-Связь» и ПАО Сбербанк, а именно – заключение договора поручительства в качестве обеспечения исполнения обязательств Общества с ограниченной ответственностью «Наука-Связь» по договору об открытии возобновляемой кредитной линии.</w:t>
            </w:r>
          </w:p>
          <w:p w:rsidR="00720EAE" w:rsidRDefault="00720EAE" w:rsidP="00720EAE">
            <w:pPr>
              <w:autoSpaceDE w:val="0"/>
              <w:autoSpaceDN w:val="0"/>
              <w:adjustRightInd w:val="0"/>
              <w:jc w:val="both"/>
              <w:outlineLvl w:val="3"/>
              <w:rPr>
                <w:color w:val="000000"/>
                <w:sz w:val="20"/>
                <w:szCs w:val="20"/>
              </w:rPr>
            </w:pPr>
            <w:r w:rsidRPr="00720EAE">
              <w:rPr>
                <w:color w:val="000000"/>
                <w:sz w:val="20"/>
                <w:szCs w:val="20"/>
              </w:rPr>
              <w:t>2.6. Результаты голосования по вопросам повестки дня Общего собран</w:t>
            </w:r>
            <w:r>
              <w:rPr>
                <w:color w:val="000000"/>
                <w:sz w:val="20"/>
                <w:szCs w:val="20"/>
              </w:rPr>
              <w:t>ия акционеров П</w:t>
            </w:r>
            <w:r w:rsidRPr="00720EAE">
              <w:rPr>
                <w:color w:val="000000"/>
                <w:sz w:val="20"/>
                <w:szCs w:val="20"/>
              </w:rPr>
              <w:t>АО «Наука-Связь», по которым имелся кворум:</w:t>
            </w:r>
          </w:p>
          <w:tbl>
            <w:tblPr>
              <w:tblW w:w="10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1601"/>
              <w:gridCol w:w="1601"/>
              <w:gridCol w:w="1601"/>
              <w:gridCol w:w="1601"/>
              <w:gridCol w:w="1601"/>
              <w:gridCol w:w="1603"/>
            </w:tblGrid>
            <w:tr w:rsidR="00FA0488" w:rsidRPr="00FA0488" w:rsidTr="00FA0488">
              <w:trPr>
                <w:cantSplit/>
                <w:trHeight w:val="488"/>
              </w:trPr>
              <w:tc>
                <w:tcPr>
                  <w:tcW w:w="10517" w:type="dxa"/>
                  <w:gridSpan w:val="7"/>
                  <w:vAlign w:val="center"/>
                </w:tcPr>
                <w:p w:rsidR="00FA0488" w:rsidRPr="00FA0488" w:rsidRDefault="00FA0488" w:rsidP="00FA0488">
                  <w:pPr>
                    <w:spacing w:before="40" w:after="40"/>
                    <w:jc w:val="center"/>
                    <w:rPr>
                      <w:sz w:val="18"/>
                      <w:szCs w:val="18"/>
                    </w:rPr>
                  </w:pPr>
                  <w:r w:rsidRPr="00FA0488">
                    <w:rPr>
                      <w:sz w:val="18"/>
                      <w:szCs w:val="18"/>
                    </w:rPr>
                    <w:t>Итоги голосования по вопросу повестки дня акционеров - владельцев голосующих акций, принимающих участие в общем собрании акционеров**:</w:t>
                  </w:r>
                </w:p>
              </w:tc>
            </w:tr>
            <w:tr w:rsidR="00FA0488" w:rsidRPr="00FA0488" w:rsidTr="00FA0488">
              <w:trPr>
                <w:cantSplit/>
                <w:trHeight w:val="562"/>
              </w:trPr>
              <w:tc>
                <w:tcPr>
                  <w:tcW w:w="909" w:type="dxa"/>
                  <w:vAlign w:val="center"/>
                </w:tcPr>
                <w:p w:rsidR="00FA0488" w:rsidRPr="00FA0488" w:rsidRDefault="00FA0488" w:rsidP="00FA0488">
                  <w:pPr>
                    <w:keepNext/>
                    <w:spacing w:before="40" w:after="40"/>
                    <w:jc w:val="center"/>
                    <w:rPr>
                      <w:sz w:val="18"/>
                      <w:szCs w:val="18"/>
                    </w:rPr>
                  </w:pPr>
                </w:p>
              </w:tc>
              <w:tc>
                <w:tcPr>
                  <w:tcW w:w="1601" w:type="dxa"/>
                  <w:vAlign w:val="center"/>
                </w:tcPr>
                <w:p w:rsidR="00FA0488" w:rsidRPr="00FA0488" w:rsidRDefault="00FA0488" w:rsidP="00FA0488">
                  <w:pPr>
                    <w:keepNext/>
                    <w:spacing w:before="40" w:after="40"/>
                    <w:jc w:val="center"/>
                    <w:rPr>
                      <w:sz w:val="18"/>
                      <w:szCs w:val="18"/>
                    </w:rPr>
                  </w:pPr>
                  <w:r w:rsidRPr="00FA0488">
                    <w:rPr>
                      <w:sz w:val="18"/>
                      <w:szCs w:val="18"/>
                    </w:rPr>
                    <w:t>Всего</w:t>
                  </w:r>
                </w:p>
              </w:tc>
              <w:tc>
                <w:tcPr>
                  <w:tcW w:w="1601" w:type="dxa"/>
                  <w:vAlign w:val="center"/>
                </w:tcPr>
                <w:p w:rsidR="00FA0488" w:rsidRPr="00FA0488" w:rsidRDefault="00FA0488" w:rsidP="00FA0488">
                  <w:pPr>
                    <w:keepNext/>
                    <w:spacing w:before="40" w:after="40"/>
                    <w:jc w:val="center"/>
                    <w:rPr>
                      <w:sz w:val="18"/>
                      <w:szCs w:val="18"/>
                    </w:rPr>
                  </w:pPr>
                  <w:r w:rsidRPr="00FA0488">
                    <w:rPr>
                      <w:sz w:val="18"/>
                      <w:szCs w:val="18"/>
                    </w:rPr>
                    <w:t>«За»</w:t>
                  </w:r>
                </w:p>
              </w:tc>
              <w:tc>
                <w:tcPr>
                  <w:tcW w:w="1601" w:type="dxa"/>
                  <w:vAlign w:val="center"/>
                </w:tcPr>
                <w:p w:rsidR="00FA0488" w:rsidRPr="00FA0488" w:rsidRDefault="00FA0488" w:rsidP="00FA0488">
                  <w:pPr>
                    <w:keepNext/>
                    <w:spacing w:before="40" w:after="40"/>
                    <w:jc w:val="center"/>
                    <w:rPr>
                      <w:sz w:val="18"/>
                      <w:szCs w:val="18"/>
                    </w:rPr>
                  </w:pPr>
                  <w:r w:rsidRPr="00FA0488">
                    <w:rPr>
                      <w:sz w:val="18"/>
                      <w:szCs w:val="18"/>
                    </w:rPr>
                    <w:t>«Против»</w:t>
                  </w:r>
                </w:p>
              </w:tc>
              <w:tc>
                <w:tcPr>
                  <w:tcW w:w="1601" w:type="dxa"/>
                  <w:vAlign w:val="center"/>
                </w:tcPr>
                <w:p w:rsidR="00FA0488" w:rsidRPr="00FA0488" w:rsidRDefault="00FA0488" w:rsidP="00FA0488">
                  <w:pPr>
                    <w:keepNext/>
                    <w:spacing w:before="40" w:after="40"/>
                    <w:jc w:val="center"/>
                    <w:rPr>
                      <w:sz w:val="18"/>
                      <w:szCs w:val="18"/>
                    </w:rPr>
                  </w:pPr>
                  <w:r w:rsidRPr="00FA0488">
                    <w:rPr>
                      <w:sz w:val="18"/>
                      <w:szCs w:val="18"/>
                    </w:rPr>
                    <w:t>«Воздержался»</w:t>
                  </w:r>
                </w:p>
              </w:tc>
              <w:tc>
                <w:tcPr>
                  <w:tcW w:w="1601" w:type="dxa"/>
                  <w:vAlign w:val="center"/>
                </w:tcPr>
                <w:p w:rsidR="00FA0488" w:rsidRPr="00FA0488" w:rsidRDefault="00FA0488" w:rsidP="00FA0488">
                  <w:pPr>
                    <w:keepNext/>
                    <w:spacing w:before="40" w:after="40"/>
                    <w:jc w:val="center"/>
                    <w:rPr>
                      <w:spacing w:val="-14"/>
                      <w:sz w:val="18"/>
                      <w:szCs w:val="18"/>
                    </w:rPr>
                  </w:pPr>
                  <w:proofErr w:type="spellStart"/>
                  <w:r w:rsidRPr="00FA0488">
                    <w:rPr>
                      <w:spacing w:val="-14"/>
                      <w:sz w:val="18"/>
                      <w:szCs w:val="18"/>
                    </w:rPr>
                    <w:t>Недейств</w:t>
                  </w:r>
                  <w:proofErr w:type="spellEnd"/>
                  <w:r w:rsidRPr="00FA0488">
                    <w:rPr>
                      <w:spacing w:val="-14"/>
                      <w:sz w:val="18"/>
                      <w:szCs w:val="18"/>
                    </w:rPr>
                    <w:t xml:space="preserve">. и </w:t>
                  </w:r>
                </w:p>
                <w:p w:rsidR="00FA0488" w:rsidRPr="00FA0488" w:rsidRDefault="00FA0488" w:rsidP="00FA0488">
                  <w:pPr>
                    <w:keepNext/>
                    <w:spacing w:before="40" w:after="40"/>
                    <w:jc w:val="center"/>
                    <w:rPr>
                      <w:spacing w:val="-14"/>
                      <w:sz w:val="18"/>
                      <w:szCs w:val="18"/>
                    </w:rPr>
                  </w:pPr>
                  <w:r w:rsidRPr="00FA0488">
                    <w:rPr>
                      <w:spacing w:val="-14"/>
                      <w:sz w:val="18"/>
                      <w:szCs w:val="18"/>
                    </w:rPr>
                    <w:t xml:space="preserve">неподсчитанные* </w:t>
                  </w:r>
                </w:p>
              </w:tc>
              <w:tc>
                <w:tcPr>
                  <w:tcW w:w="1602" w:type="dxa"/>
                  <w:vAlign w:val="center"/>
                </w:tcPr>
                <w:p w:rsidR="00FA0488" w:rsidRPr="00FA0488" w:rsidRDefault="00FA0488" w:rsidP="00FA0488">
                  <w:pPr>
                    <w:keepNext/>
                    <w:spacing w:before="40" w:after="40"/>
                    <w:jc w:val="center"/>
                    <w:rPr>
                      <w:sz w:val="18"/>
                      <w:szCs w:val="18"/>
                    </w:rPr>
                  </w:pPr>
                  <w:r w:rsidRPr="00FA0488">
                    <w:rPr>
                      <w:sz w:val="18"/>
                      <w:szCs w:val="18"/>
                    </w:rPr>
                    <w:t>Не голосовали</w:t>
                  </w:r>
                </w:p>
              </w:tc>
            </w:tr>
            <w:tr w:rsidR="00FA0488" w:rsidRPr="00FA0488" w:rsidTr="00FA0488">
              <w:trPr>
                <w:cantSplit/>
                <w:trHeight w:val="285"/>
              </w:trPr>
              <w:tc>
                <w:tcPr>
                  <w:tcW w:w="909" w:type="dxa"/>
                  <w:vAlign w:val="center"/>
                </w:tcPr>
                <w:p w:rsidR="00FA0488" w:rsidRPr="00FA0488" w:rsidRDefault="00FA0488" w:rsidP="00FA0488">
                  <w:pPr>
                    <w:spacing w:before="40" w:after="40"/>
                    <w:jc w:val="center"/>
                    <w:rPr>
                      <w:sz w:val="20"/>
                      <w:szCs w:val="20"/>
                    </w:rPr>
                  </w:pPr>
                  <w:r w:rsidRPr="00FA0488">
                    <w:rPr>
                      <w:sz w:val="20"/>
                      <w:szCs w:val="20"/>
                    </w:rPr>
                    <w:t>Голоса</w:t>
                  </w:r>
                </w:p>
              </w:tc>
              <w:tc>
                <w:tcPr>
                  <w:tcW w:w="1601" w:type="dxa"/>
                  <w:vAlign w:val="center"/>
                </w:tcPr>
                <w:p w:rsidR="00FA0488" w:rsidRPr="00FA0488" w:rsidRDefault="00FA0488" w:rsidP="00FA0488">
                  <w:pPr>
                    <w:spacing w:before="40" w:after="40"/>
                    <w:jc w:val="right"/>
                    <w:rPr>
                      <w:sz w:val="16"/>
                      <w:szCs w:val="16"/>
                      <w:lang w:val="en-US"/>
                    </w:rPr>
                  </w:pPr>
                  <w:r w:rsidRPr="00FA0488">
                    <w:rPr>
                      <w:sz w:val="16"/>
                      <w:szCs w:val="16"/>
                      <w:lang w:val="en-US"/>
                    </w:rPr>
                    <w:t xml:space="preserve"> 680 328</w:t>
                  </w:r>
                </w:p>
              </w:tc>
              <w:tc>
                <w:tcPr>
                  <w:tcW w:w="1601" w:type="dxa"/>
                  <w:vAlign w:val="center"/>
                </w:tcPr>
                <w:p w:rsidR="00FA0488" w:rsidRPr="00FA0488" w:rsidRDefault="00FA0488" w:rsidP="00FA0488">
                  <w:pPr>
                    <w:spacing w:before="40" w:after="40"/>
                    <w:jc w:val="right"/>
                    <w:rPr>
                      <w:sz w:val="16"/>
                      <w:szCs w:val="16"/>
                      <w:lang w:val="en-US"/>
                    </w:rPr>
                  </w:pPr>
                  <w:r w:rsidRPr="00FA0488">
                    <w:rPr>
                      <w:sz w:val="16"/>
                      <w:szCs w:val="16"/>
                      <w:lang w:val="en-US"/>
                    </w:rPr>
                    <w:t xml:space="preserve"> 680 328</w:t>
                  </w:r>
                </w:p>
              </w:tc>
              <w:tc>
                <w:tcPr>
                  <w:tcW w:w="1601" w:type="dxa"/>
                  <w:vAlign w:val="center"/>
                </w:tcPr>
                <w:p w:rsidR="00FA0488" w:rsidRPr="00FA0488" w:rsidRDefault="00FA0488" w:rsidP="00FA0488">
                  <w:pPr>
                    <w:spacing w:before="40" w:after="40"/>
                    <w:jc w:val="right"/>
                    <w:rPr>
                      <w:sz w:val="16"/>
                      <w:szCs w:val="16"/>
                      <w:lang w:val="en-US"/>
                    </w:rPr>
                  </w:pPr>
                  <w:r w:rsidRPr="00FA0488">
                    <w:rPr>
                      <w:sz w:val="16"/>
                      <w:szCs w:val="16"/>
                      <w:lang w:val="en-US"/>
                    </w:rPr>
                    <w:t>0</w:t>
                  </w:r>
                </w:p>
              </w:tc>
              <w:tc>
                <w:tcPr>
                  <w:tcW w:w="1601" w:type="dxa"/>
                  <w:vAlign w:val="center"/>
                </w:tcPr>
                <w:p w:rsidR="00FA0488" w:rsidRPr="00FA0488" w:rsidRDefault="00FA0488" w:rsidP="00FA0488">
                  <w:pPr>
                    <w:spacing w:before="40" w:after="40"/>
                    <w:jc w:val="right"/>
                    <w:rPr>
                      <w:sz w:val="16"/>
                      <w:szCs w:val="16"/>
                      <w:lang w:val="en-US"/>
                    </w:rPr>
                  </w:pPr>
                  <w:r w:rsidRPr="00FA0488">
                    <w:rPr>
                      <w:sz w:val="16"/>
                      <w:szCs w:val="16"/>
                      <w:lang w:val="en-US"/>
                    </w:rPr>
                    <w:t>0</w:t>
                  </w:r>
                </w:p>
              </w:tc>
              <w:tc>
                <w:tcPr>
                  <w:tcW w:w="1601" w:type="dxa"/>
                  <w:vAlign w:val="center"/>
                </w:tcPr>
                <w:p w:rsidR="00FA0488" w:rsidRPr="00FA0488" w:rsidRDefault="00FA0488" w:rsidP="00FA0488">
                  <w:pPr>
                    <w:spacing w:before="40" w:after="40"/>
                    <w:jc w:val="right"/>
                    <w:rPr>
                      <w:sz w:val="16"/>
                      <w:szCs w:val="16"/>
                      <w:lang w:val="en-US"/>
                    </w:rPr>
                  </w:pPr>
                  <w:r w:rsidRPr="00FA0488">
                    <w:rPr>
                      <w:sz w:val="16"/>
                      <w:szCs w:val="16"/>
                      <w:lang w:val="en-US"/>
                    </w:rPr>
                    <w:t>0</w:t>
                  </w:r>
                </w:p>
              </w:tc>
              <w:tc>
                <w:tcPr>
                  <w:tcW w:w="1602" w:type="dxa"/>
                  <w:vAlign w:val="center"/>
                </w:tcPr>
                <w:p w:rsidR="00FA0488" w:rsidRPr="00FA0488" w:rsidRDefault="00FA0488" w:rsidP="00FA0488">
                  <w:pPr>
                    <w:spacing w:before="40" w:after="40"/>
                    <w:jc w:val="right"/>
                    <w:rPr>
                      <w:sz w:val="16"/>
                      <w:szCs w:val="16"/>
                      <w:lang w:val="en-US"/>
                    </w:rPr>
                  </w:pPr>
                  <w:r w:rsidRPr="00FA0488">
                    <w:rPr>
                      <w:sz w:val="16"/>
                      <w:szCs w:val="16"/>
                      <w:lang w:val="en-US"/>
                    </w:rPr>
                    <w:t>0</w:t>
                  </w:r>
                </w:p>
              </w:tc>
            </w:tr>
            <w:tr w:rsidR="00FA0488" w:rsidRPr="00FA0488" w:rsidTr="00FA0488">
              <w:trPr>
                <w:cantSplit/>
                <w:trHeight w:val="310"/>
              </w:trPr>
              <w:tc>
                <w:tcPr>
                  <w:tcW w:w="909" w:type="dxa"/>
                  <w:vAlign w:val="center"/>
                </w:tcPr>
                <w:p w:rsidR="00FA0488" w:rsidRPr="00FA0488" w:rsidRDefault="00FA0488" w:rsidP="00FA0488">
                  <w:pPr>
                    <w:spacing w:before="40" w:after="40"/>
                    <w:jc w:val="center"/>
                    <w:rPr>
                      <w:sz w:val="20"/>
                      <w:szCs w:val="20"/>
                    </w:rPr>
                  </w:pPr>
                  <w:r w:rsidRPr="00FA0488">
                    <w:rPr>
                      <w:sz w:val="20"/>
                      <w:szCs w:val="20"/>
                    </w:rPr>
                    <w:t>%</w:t>
                  </w:r>
                </w:p>
              </w:tc>
              <w:tc>
                <w:tcPr>
                  <w:tcW w:w="1601" w:type="dxa"/>
                  <w:vAlign w:val="center"/>
                </w:tcPr>
                <w:p w:rsidR="00FA0488" w:rsidRPr="00FA0488" w:rsidRDefault="00FA0488" w:rsidP="00FA0488">
                  <w:pPr>
                    <w:spacing w:before="40" w:after="40"/>
                    <w:jc w:val="right"/>
                    <w:rPr>
                      <w:sz w:val="16"/>
                      <w:szCs w:val="16"/>
                      <w:lang w:val="en-US"/>
                    </w:rPr>
                  </w:pPr>
                  <w:r w:rsidRPr="00FA0488">
                    <w:rPr>
                      <w:sz w:val="16"/>
                      <w:szCs w:val="16"/>
                      <w:lang w:val="en-US"/>
                    </w:rPr>
                    <w:t>100,00</w:t>
                  </w:r>
                </w:p>
              </w:tc>
              <w:tc>
                <w:tcPr>
                  <w:tcW w:w="1601" w:type="dxa"/>
                  <w:vAlign w:val="center"/>
                </w:tcPr>
                <w:p w:rsidR="00FA0488" w:rsidRPr="00FA0488" w:rsidRDefault="00FA0488" w:rsidP="00FA0488">
                  <w:pPr>
                    <w:spacing w:before="40" w:after="40"/>
                    <w:jc w:val="right"/>
                    <w:rPr>
                      <w:sz w:val="16"/>
                      <w:szCs w:val="16"/>
                      <w:lang w:val="en-US"/>
                    </w:rPr>
                  </w:pPr>
                  <w:r w:rsidRPr="00FA0488">
                    <w:rPr>
                      <w:sz w:val="16"/>
                      <w:szCs w:val="16"/>
                      <w:lang w:val="en-US"/>
                    </w:rPr>
                    <w:t>100,00</w:t>
                  </w:r>
                </w:p>
              </w:tc>
              <w:tc>
                <w:tcPr>
                  <w:tcW w:w="1601" w:type="dxa"/>
                  <w:vAlign w:val="center"/>
                </w:tcPr>
                <w:p w:rsidR="00FA0488" w:rsidRPr="00FA0488" w:rsidRDefault="00FA0488" w:rsidP="00FA0488">
                  <w:pPr>
                    <w:spacing w:before="40" w:after="40"/>
                    <w:jc w:val="right"/>
                    <w:rPr>
                      <w:sz w:val="16"/>
                      <w:szCs w:val="16"/>
                      <w:lang w:val="en-US"/>
                    </w:rPr>
                  </w:pPr>
                  <w:r w:rsidRPr="00FA0488">
                    <w:rPr>
                      <w:sz w:val="16"/>
                      <w:szCs w:val="16"/>
                      <w:lang w:val="en-US"/>
                    </w:rPr>
                    <w:t>0,00</w:t>
                  </w:r>
                </w:p>
              </w:tc>
              <w:tc>
                <w:tcPr>
                  <w:tcW w:w="1601" w:type="dxa"/>
                  <w:vAlign w:val="center"/>
                </w:tcPr>
                <w:p w:rsidR="00FA0488" w:rsidRPr="00FA0488" w:rsidRDefault="00FA0488" w:rsidP="00FA0488">
                  <w:pPr>
                    <w:spacing w:before="40" w:after="40"/>
                    <w:jc w:val="right"/>
                    <w:rPr>
                      <w:sz w:val="16"/>
                      <w:szCs w:val="16"/>
                      <w:lang w:val="en-US"/>
                    </w:rPr>
                  </w:pPr>
                  <w:r w:rsidRPr="00FA0488">
                    <w:rPr>
                      <w:sz w:val="16"/>
                      <w:szCs w:val="16"/>
                      <w:lang w:val="en-US"/>
                    </w:rPr>
                    <w:t>0,00</w:t>
                  </w:r>
                </w:p>
              </w:tc>
              <w:tc>
                <w:tcPr>
                  <w:tcW w:w="1601" w:type="dxa"/>
                  <w:vAlign w:val="center"/>
                </w:tcPr>
                <w:p w:rsidR="00FA0488" w:rsidRPr="00FA0488" w:rsidRDefault="00FA0488" w:rsidP="00FA0488">
                  <w:pPr>
                    <w:spacing w:before="40" w:after="40"/>
                    <w:jc w:val="right"/>
                    <w:rPr>
                      <w:sz w:val="16"/>
                      <w:szCs w:val="16"/>
                      <w:lang w:val="en-US"/>
                    </w:rPr>
                  </w:pPr>
                  <w:r w:rsidRPr="00FA0488">
                    <w:rPr>
                      <w:sz w:val="16"/>
                      <w:szCs w:val="16"/>
                      <w:lang w:val="en-US"/>
                    </w:rPr>
                    <w:t>0,00</w:t>
                  </w:r>
                </w:p>
              </w:tc>
              <w:tc>
                <w:tcPr>
                  <w:tcW w:w="1602" w:type="dxa"/>
                  <w:vAlign w:val="center"/>
                </w:tcPr>
                <w:p w:rsidR="00FA0488" w:rsidRPr="00FA0488" w:rsidRDefault="00FA0488" w:rsidP="00FA0488">
                  <w:pPr>
                    <w:spacing w:before="40" w:after="40"/>
                    <w:jc w:val="right"/>
                    <w:rPr>
                      <w:sz w:val="16"/>
                      <w:szCs w:val="16"/>
                      <w:lang w:val="en-US"/>
                    </w:rPr>
                  </w:pPr>
                  <w:r w:rsidRPr="00FA0488">
                    <w:rPr>
                      <w:sz w:val="16"/>
                      <w:szCs w:val="16"/>
                      <w:lang w:val="en-US"/>
                    </w:rPr>
                    <w:t>0,00</w:t>
                  </w:r>
                </w:p>
              </w:tc>
            </w:tr>
            <w:tr w:rsidR="00FA0488" w:rsidRPr="00FA0488" w:rsidTr="00FA0488">
              <w:trPr>
                <w:cantSplit/>
                <w:trHeight w:val="488"/>
              </w:trPr>
              <w:tc>
                <w:tcPr>
                  <w:tcW w:w="10517" w:type="dxa"/>
                  <w:gridSpan w:val="7"/>
                  <w:vAlign w:val="center"/>
                </w:tcPr>
                <w:p w:rsidR="00FA0488" w:rsidRPr="00FA0488" w:rsidRDefault="00FA0488" w:rsidP="00FA0488">
                  <w:pPr>
                    <w:spacing w:before="40" w:after="40"/>
                    <w:jc w:val="center"/>
                    <w:rPr>
                      <w:sz w:val="18"/>
                      <w:szCs w:val="18"/>
                    </w:rPr>
                  </w:pPr>
                  <w:r w:rsidRPr="00FA0488">
                    <w:rPr>
                      <w:sz w:val="18"/>
                      <w:szCs w:val="18"/>
                    </w:rPr>
                    <w:t>Итоги голосования по вопросу повестки дня акционеров - владельцев голосующих акций, не заинтересованных в сделке, принимающих участие в общем собрании акционеров**:</w:t>
                  </w:r>
                </w:p>
              </w:tc>
            </w:tr>
            <w:tr w:rsidR="00FA0488" w:rsidRPr="00FA0488" w:rsidTr="00FA0488">
              <w:trPr>
                <w:cantSplit/>
                <w:trHeight w:val="562"/>
              </w:trPr>
              <w:tc>
                <w:tcPr>
                  <w:tcW w:w="909" w:type="dxa"/>
                  <w:vAlign w:val="center"/>
                </w:tcPr>
                <w:p w:rsidR="00FA0488" w:rsidRPr="00FA0488" w:rsidRDefault="00FA0488" w:rsidP="00FA0488">
                  <w:pPr>
                    <w:keepNext/>
                    <w:spacing w:before="40" w:after="40"/>
                    <w:jc w:val="center"/>
                    <w:rPr>
                      <w:sz w:val="18"/>
                      <w:szCs w:val="18"/>
                    </w:rPr>
                  </w:pPr>
                </w:p>
              </w:tc>
              <w:tc>
                <w:tcPr>
                  <w:tcW w:w="1601" w:type="dxa"/>
                  <w:vAlign w:val="center"/>
                </w:tcPr>
                <w:p w:rsidR="00FA0488" w:rsidRPr="00FA0488" w:rsidRDefault="00FA0488" w:rsidP="00FA0488">
                  <w:pPr>
                    <w:keepNext/>
                    <w:spacing w:before="40" w:after="40"/>
                    <w:jc w:val="center"/>
                    <w:rPr>
                      <w:sz w:val="18"/>
                      <w:szCs w:val="18"/>
                    </w:rPr>
                  </w:pPr>
                  <w:r w:rsidRPr="00FA0488">
                    <w:rPr>
                      <w:sz w:val="18"/>
                      <w:szCs w:val="18"/>
                    </w:rPr>
                    <w:t>Всего</w:t>
                  </w:r>
                </w:p>
              </w:tc>
              <w:tc>
                <w:tcPr>
                  <w:tcW w:w="1601" w:type="dxa"/>
                  <w:vAlign w:val="center"/>
                </w:tcPr>
                <w:p w:rsidR="00FA0488" w:rsidRPr="00FA0488" w:rsidRDefault="00FA0488" w:rsidP="00FA0488">
                  <w:pPr>
                    <w:keepNext/>
                    <w:spacing w:before="40" w:after="40"/>
                    <w:jc w:val="center"/>
                    <w:rPr>
                      <w:sz w:val="18"/>
                      <w:szCs w:val="18"/>
                    </w:rPr>
                  </w:pPr>
                  <w:r w:rsidRPr="00FA0488">
                    <w:rPr>
                      <w:sz w:val="18"/>
                      <w:szCs w:val="18"/>
                    </w:rPr>
                    <w:t>«За»</w:t>
                  </w:r>
                </w:p>
              </w:tc>
              <w:tc>
                <w:tcPr>
                  <w:tcW w:w="1601" w:type="dxa"/>
                  <w:vAlign w:val="center"/>
                </w:tcPr>
                <w:p w:rsidR="00FA0488" w:rsidRPr="00FA0488" w:rsidRDefault="00FA0488" w:rsidP="00FA0488">
                  <w:pPr>
                    <w:keepNext/>
                    <w:spacing w:before="40" w:after="40"/>
                    <w:jc w:val="center"/>
                    <w:rPr>
                      <w:sz w:val="18"/>
                      <w:szCs w:val="18"/>
                    </w:rPr>
                  </w:pPr>
                  <w:r w:rsidRPr="00FA0488">
                    <w:rPr>
                      <w:sz w:val="18"/>
                      <w:szCs w:val="18"/>
                    </w:rPr>
                    <w:t>«Против»</w:t>
                  </w:r>
                </w:p>
              </w:tc>
              <w:tc>
                <w:tcPr>
                  <w:tcW w:w="1601" w:type="dxa"/>
                  <w:vAlign w:val="center"/>
                </w:tcPr>
                <w:p w:rsidR="00FA0488" w:rsidRPr="00FA0488" w:rsidRDefault="00FA0488" w:rsidP="00FA0488">
                  <w:pPr>
                    <w:keepNext/>
                    <w:spacing w:before="40" w:after="40"/>
                    <w:jc w:val="center"/>
                    <w:rPr>
                      <w:sz w:val="18"/>
                      <w:szCs w:val="18"/>
                    </w:rPr>
                  </w:pPr>
                  <w:r w:rsidRPr="00FA0488">
                    <w:rPr>
                      <w:sz w:val="18"/>
                      <w:szCs w:val="18"/>
                    </w:rPr>
                    <w:t>«Воздержался»</w:t>
                  </w:r>
                </w:p>
              </w:tc>
              <w:tc>
                <w:tcPr>
                  <w:tcW w:w="1601" w:type="dxa"/>
                  <w:vAlign w:val="center"/>
                </w:tcPr>
                <w:p w:rsidR="00FA0488" w:rsidRPr="00FA0488" w:rsidRDefault="00FA0488" w:rsidP="00FA0488">
                  <w:pPr>
                    <w:keepNext/>
                    <w:spacing w:before="40" w:after="40"/>
                    <w:jc w:val="center"/>
                    <w:rPr>
                      <w:spacing w:val="-14"/>
                      <w:sz w:val="18"/>
                      <w:szCs w:val="18"/>
                    </w:rPr>
                  </w:pPr>
                  <w:proofErr w:type="spellStart"/>
                  <w:r w:rsidRPr="00FA0488">
                    <w:rPr>
                      <w:spacing w:val="-14"/>
                      <w:sz w:val="18"/>
                      <w:szCs w:val="18"/>
                    </w:rPr>
                    <w:t>Недейств</w:t>
                  </w:r>
                  <w:proofErr w:type="spellEnd"/>
                  <w:r w:rsidRPr="00FA0488">
                    <w:rPr>
                      <w:spacing w:val="-14"/>
                      <w:sz w:val="18"/>
                      <w:szCs w:val="18"/>
                    </w:rPr>
                    <w:t xml:space="preserve">. и </w:t>
                  </w:r>
                </w:p>
                <w:p w:rsidR="00FA0488" w:rsidRPr="00FA0488" w:rsidRDefault="00FA0488" w:rsidP="00FA0488">
                  <w:pPr>
                    <w:keepNext/>
                    <w:spacing w:before="40" w:after="40"/>
                    <w:jc w:val="center"/>
                    <w:rPr>
                      <w:spacing w:val="-14"/>
                      <w:sz w:val="18"/>
                      <w:szCs w:val="18"/>
                    </w:rPr>
                  </w:pPr>
                  <w:r w:rsidRPr="00FA0488">
                    <w:rPr>
                      <w:spacing w:val="-14"/>
                      <w:sz w:val="18"/>
                      <w:szCs w:val="18"/>
                    </w:rPr>
                    <w:t xml:space="preserve">неподсчитанные* </w:t>
                  </w:r>
                </w:p>
              </w:tc>
              <w:tc>
                <w:tcPr>
                  <w:tcW w:w="1602" w:type="dxa"/>
                  <w:vAlign w:val="center"/>
                </w:tcPr>
                <w:p w:rsidR="00FA0488" w:rsidRPr="00FA0488" w:rsidRDefault="00FA0488" w:rsidP="00FA0488">
                  <w:pPr>
                    <w:keepNext/>
                    <w:spacing w:before="40" w:after="40"/>
                    <w:jc w:val="center"/>
                    <w:rPr>
                      <w:sz w:val="18"/>
                      <w:szCs w:val="18"/>
                    </w:rPr>
                  </w:pPr>
                  <w:r w:rsidRPr="00FA0488">
                    <w:rPr>
                      <w:sz w:val="18"/>
                      <w:szCs w:val="18"/>
                    </w:rPr>
                    <w:t>Не голосовали</w:t>
                  </w:r>
                </w:p>
              </w:tc>
            </w:tr>
            <w:tr w:rsidR="00FA0488" w:rsidRPr="00FA0488" w:rsidTr="00FA0488">
              <w:trPr>
                <w:cantSplit/>
                <w:trHeight w:val="239"/>
              </w:trPr>
              <w:tc>
                <w:tcPr>
                  <w:tcW w:w="909" w:type="dxa"/>
                  <w:vAlign w:val="center"/>
                </w:tcPr>
                <w:p w:rsidR="00FA0488" w:rsidRPr="00FA0488" w:rsidRDefault="00FA0488" w:rsidP="00FA0488">
                  <w:pPr>
                    <w:spacing w:before="40" w:after="40"/>
                    <w:jc w:val="center"/>
                    <w:rPr>
                      <w:sz w:val="20"/>
                      <w:szCs w:val="20"/>
                    </w:rPr>
                  </w:pPr>
                  <w:r w:rsidRPr="00FA0488">
                    <w:rPr>
                      <w:sz w:val="20"/>
                      <w:szCs w:val="20"/>
                    </w:rPr>
                    <w:t>Голоса</w:t>
                  </w:r>
                </w:p>
              </w:tc>
              <w:tc>
                <w:tcPr>
                  <w:tcW w:w="1601" w:type="dxa"/>
                  <w:vAlign w:val="center"/>
                </w:tcPr>
                <w:p w:rsidR="00FA0488" w:rsidRPr="006D1B84" w:rsidRDefault="00FA0488" w:rsidP="00FA0488">
                  <w:pPr>
                    <w:spacing w:before="40" w:after="40"/>
                    <w:jc w:val="right"/>
                    <w:rPr>
                      <w:sz w:val="16"/>
                      <w:szCs w:val="16"/>
                    </w:rPr>
                  </w:pPr>
                  <w:r w:rsidRPr="006D1B84">
                    <w:rPr>
                      <w:sz w:val="16"/>
                      <w:szCs w:val="16"/>
                    </w:rPr>
                    <w:t xml:space="preserve"> 501 644</w:t>
                  </w:r>
                </w:p>
              </w:tc>
              <w:tc>
                <w:tcPr>
                  <w:tcW w:w="1601" w:type="dxa"/>
                  <w:vAlign w:val="center"/>
                </w:tcPr>
                <w:p w:rsidR="00FA0488" w:rsidRPr="006D1B84" w:rsidRDefault="00FA0488" w:rsidP="00FA0488">
                  <w:pPr>
                    <w:spacing w:before="40" w:after="40"/>
                    <w:jc w:val="right"/>
                    <w:rPr>
                      <w:sz w:val="16"/>
                      <w:szCs w:val="16"/>
                    </w:rPr>
                  </w:pPr>
                  <w:r w:rsidRPr="006D1B84">
                    <w:rPr>
                      <w:sz w:val="16"/>
                      <w:szCs w:val="16"/>
                    </w:rPr>
                    <w:t xml:space="preserve"> 501 644</w:t>
                  </w:r>
                </w:p>
              </w:tc>
              <w:tc>
                <w:tcPr>
                  <w:tcW w:w="1601" w:type="dxa"/>
                  <w:vAlign w:val="center"/>
                </w:tcPr>
                <w:p w:rsidR="00FA0488" w:rsidRPr="006D1B84" w:rsidRDefault="00FA0488" w:rsidP="00FA0488">
                  <w:pPr>
                    <w:spacing w:before="40" w:after="40"/>
                    <w:jc w:val="right"/>
                    <w:rPr>
                      <w:sz w:val="16"/>
                      <w:szCs w:val="16"/>
                    </w:rPr>
                  </w:pPr>
                  <w:r w:rsidRPr="006D1B84">
                    <w:rPr>
                      <w:sz w:val="16"/>
                      <w:szCs w:val="16"/>
                    </w:rPr>
                    <w:t>0</w:t>
                  </w:r>
                </w:p>
              </w:tc>
              <w:tc>
                <w:tcPr>
                  <w:tcW w:w="1601" w:type="dxa"/>
                  <w:vAlign w:val="center"/>
                </w:tcPr>
                <w:p w:rsidR="00FA0488" w:rsidRPr="006D1B84" w:rsidRDefault="00FA0488" w:rsidP="00FA0488">
                  <w:pPr>
                    <w:spacing w:before="40" w:after="40"/>
                    <w:jc w:val="right"/>
                    <w:rPr>
                      <w:sz w:val="16"/>
                      <w:szCs w:val="16"/>
                    </w:rPr>
                  </w:pPr>
                  <w:r w:rsidRPr="006D1B84">
                    <w:rPr>
                      <w:sz w:val="16"/>
                      <w:szCs w:val="16"/>
                    </w:rPr>
                    <w:t>0</w:t>
                  </w:r>
                </w:p>
              </w:tc>
              <w:tc>
                <w:tcPr>
                  <w:tcW w:w="1601" w:type="dxa"/>
                  <w:vAlign w:val="center"/>
                </w:tcPr>
                <w:p w:rsidR="00FA0488" w:rsidRPr="006D1B84" w:rsidRDefault="00FA0488" w:rsidP="00FA0488">
                  <w:pPr>
                    <w:spacing w:before="40" w:after="40"/>
                    <w:jc w:val="right"/>
                    <w:rPr>
                      <w:sz w:val="16"/>
                      <w:szCs w:val="16"/>
                    </w:rPr>
                  </w:pPr>
                  <w:r w:rsidRPr="006D1B84">
                    <w:rPr>
                      <w:sz w:val="16"/>
                      <w:szCs w:val="16"/>
                    </w:rPr>
                    <w:t>0</w:t>
                  </w:r>
                </w:p>
              </w:tc>
              <w:tc>
                <w:tcPr>
                  <w:tcW w:w="1602" w:type="dxa"/>
                  <w:vAlign w:val="center"/>
                </w:tcPr>
                <w:p w:rsidR="00FA0488" w:rsidRPr="006D1B84" w:rsidRDefault="00FA0488" w:rsidP="00FA0488">
                  <w:pPr>
                    <w:spacing w:before="40" w:after="40"/>
                    <w:jc w:val="right"/>
                    <w:rPr>
                      <w:sz w:val="16"/>
                      <w:szCs w:val="16"/>
                    </w:rPr>
                  </w:pPr>
                  <w:r w:rsidRPr="006D1B84">
                    <w:rPr>
                      <w:sz w:val="16"/>
                      <w:szCs w:val="16"/>
                    </w:rPr>
                    <w:t>0</w:t>
                  </w:r>
                </w:p>
              </w:tc>
            </w:tr>
            <w:tr w:rsidR="00FA0488" w:rsidRPr="00FA0488" w:rsidTr="00FA0488">
              <w:trPr>
                <w:cantSplit/>
                <w:trHeight w:val="295"/>
              </w:trPr>
              <w:tc>
                <w:tcPr>
                  <w:tcW w:w="909" w:type="dxa"/>
                  <w:vAlign w:val="center"/>
                </w:tcPr>
                <w:p w:rsidR="00FA0488" w:rsidRPr="00FA0488" w:rsidRDefault="00FA0488" w:rsidP="00FA0488">
                  <w:pPr>
                    <w:spacing w:before="40" w:after="40"/>
                    <w:jc w:val="center"/>
                    <w:rPr>
                      <w:sz w:val="20"/>
                      <w:szCs w:val="20"/>
                    </w:rPr>
                  </w:pPr>
                  <w:r w:rsidRPr="00FA0488">
                    <w:rPr>
                      <w:sz w:val="20"/>
                      <w:szCs w:val="20"/>
                    </w:rPr>
                    <w:t>%</w:t>
                  </w:r>
                </w:p>
              </w:tc>
              <w:tc>
                <w:tcPr>
                  <w:tcW w:w="1601" w:type="dxa"/>
                  <w:vAlign w:val="center"/>
                </w:tcPr>
                <w:p w:rsidR="00FA0488" w:rsidRPr="006D1B84" w:rsidRDefault="00FA0488" w:rsidP="00FA0488">
                  <w:pPr>
                    <w:spacing w:before="40" w:after="40"/>
                    <w:jc w:val="right"/>
                    <w:rPr>
                      <w:sz w:val="16"/>
                      <w:szCs w:val="16"/>
                    </w:rPr>
                  </w:pPr>
                  <w:r w:rsidRPr="006D1B84">
                    <w:rPr>
                      <w:sz w:val="16"/>
                      <w:szCs w:val="16"/>
                    </w:rPr>
                    <w:t>100,00</w:t>
                  </w:r>
                </w:p>
              </w:tc>
              <w:tc>
                <w:tcPr>
                  <w:tcW w:w="1601" w:type="dxa"/>
                  <w:vAlign w:val="center"/>
                </w:tcPr>
                <w:p w:rsidR="00FA0488" w:rsidRPr="006D1B84" w:rsidRDefault="00FA0488" w:rsidP="00FA0488">
                  <w:pPr>
                    <w:spacing w:before="40" w:after="40"/>
                    <w:jc w:val="right"/>
                    <w:rPr>
                      <w:sz w:val="16"/>
                      <w:szCs w:val="16"/>
                    </w:rPr>
                  </w:pPr>
                  <w:r w:rsidRPr="006D1B84">
                    <w:rPr>
                      <w:sz w:val="16"/>
                      <w:szCs w:val="16"/>
                    </w:rPr>
                    <w:t>100,00</w:t>
                  </w:r>
                </w:p>
              </w:tc>
              <w:tc>
                <w:tcPr>
                  <w:tcW w:w="1601" w:type="dxa"/>
                  <w:vAlign w:val="center"/>
                </w:tcPr>
                <w:p w:rsidR="00FA0488" w:rsidRPr="006D1B84" w:rsidRDefault="00FA0488" w:rsidP="00FA0488">
                  <w:pPr>
                    <w:spacing w:before="40" w:after="40"/>
                    <w:jc w:val="right"/>
                    <w:rPr>
                      <w:sz w:val="16"/>
                      <w:szCs w:val="16"/>
                    </w:rPr>
                  </w:pPr>
                  <w:r w:rsidRPr="006D1B84">
                    <w:rPr>
                      <w:sz w:val="16"/>
                      <w:szCs w:val="16"/>
                    </w:rPr>
                    <w:t>0,00</w:t>
                  </w:r>
                </w:p>
              </w:tc>
              <w:tc>
                <w:tcPr>
                  <w:tcW w:w="1601" w:type="dxa"/>
                  <w:vAlign w:val="center"/>
                </w:tcPr>
                <w:p w:rsidR="00FA0488" w:rsidRPr="006D1B84" w:rsidRDefault="00FA0488" w:rsidP="00FA0488">
                  <w:pPr>
                    <w:spacing w:before="40" w:after="40"/>
                    <w:jc w:val="right"/>
                    <w:rPr>
                      <w:sz w:val="16"/>
                      <w:szCs w:val="16"/>
                    </w:rPr>
                  </w:pPr>
                  <w:r w:rsidRPr="006D1B84">
                    <w:rPr>
                      <w:sz w:val="16"/>
                      <w:szCs w:val="16"/>
                    </w:rPr>
                    <w:t>0,00</w:t>
                  </w:r>
                </w:p>
              </w:tc>
              <w:tc>
                <w:tcPr>
                  <w:tcW w:w="1601" w:type="dxa"/>
                  <w:vAlign w:val="center"/>
                </w:tcPr>
                <w:p w:rsidR="00FA0488" w:rsidRPr="006D1B84" w:rsidRDefault="00FA0488" w:rsidP="00FA0488">
                  <w:pPr>
                    <w:spacing w:before="40" w:after="40"/>
                    <w:jc w:val="right"/>
                    <w:rPr>
                      <w:sz w:val="16"/>
                      <w:szCs w:val="16"/>
                    </w:rPr>
                  </w:pPr>
                  <w:r w:rsidRPr="006D1B84">
                    <w:rPr>
                      <w:sz w:val="16"/>
                      <w:szCs w:val="16"/>
                    </w:rPr>
                    <w:t>0,00</w:t>
                  </w:r>
                </w:p>
              </w:tc>
              <w:tc>
                <w:tcPr>
                  <w:tcW w:w="1602" w:type="dxa"/>
                  <w:vAlign w:val="center"/>
                </w:tcPr>
                <w:p w:rsidR="00FA0488" w:rsidRPr="006D1B84" w:rsidRDefault="00FA0488" w:rsidP="00FA0488">
                  <w:pPr>
                    <w:spacing w:before="40" w:after="40"/>
                    <w:jc w:val="right"/>
                    <w:rPr>
                      <w:sz w:val="16"/>
                      <w:szCs w:val="16"/>
                    </w:rPr>
                  </w:pPr>
                  <w:r w:rsidRPr="006D1B84">
                    <w:rPr>
                      <w:sz w:val="16"/>
                      <w:szCs w:val="16"/>
                    </w:rPr>
                    <w:t>0,00</w:t>
                  </w:r>
                </w:p>
              </w:tc>
            </w:tr>
          </w:tbl>
          <w:p w:rsidR="00FA0488" w:rsidRPr="00FA0488" w:rsidRDefault="00FA0488" w:rsidP="00FA0488">
            <w:pPr>
              <w:widowControl/>
              <w:suppressAutoHyphens w:val="0"/>
              <w:jc w:val="both"/>
              <w:rPr>
                <w:bCs/>
                <w:i/>
                <w:spacing w:val="-4"/>
                <w:sz w:val="16"/>
                <w:szCs w:val="16"/>
                <w:lang w:bidi="ar-SA"/>
              </w:rPr>
            </w:pPr>
            <w:r w:rsidRPr="00FA0488">
              <w:rPr>
                <w:bCs/>
                <w:i/>
                <w:spacing w:val="-4"/>
                <w:sz w:val="16"/>
                <w:szCs w:val="16"/>
                <w:lang w:bidi="ar-SA"/>
              </w:rPr>
              <w:t>*</w:t>
            </w:r>
            <w:r w:rsidRPr="00FA0488">
              <w:rPr>
                <w:i/>
                <w:spacing w:val="-4"/>
                <w:sz w:val="16"/>
                <w:szCs w:val="16"/>
                <w:lang w:bidi="ar-SA"/>
              </w:rPr>
              <w:t xml:space="preserve"> Недействительные и не подсчитанные по иным основаниям, предусмотренным Положением, утвержденным Банком России от 16.11.2018 г. № 660-П.</w:t>
            </w:r>
          </w:p>
          <w:p w:rsidR="00FA0488" w:rsidRPr="00FA0488" w:rsidRDefault="00FA0488" w:rsidP="00FA0488">
            <w:pPr>
              <w:widowControl/>
              <w:tabs>
                <w:tab w:val="left" w:pos="0"/>
              </w:tabs>
              <w:suppressAutoHyphens w:val="0"/>
              <w:ind w:right="-6"/>
              <w:jc w:val="both"/>
              <w:rPr>
                <w:sz w:val="14"/>
                <w:szCs w:val="14"/>
                <w:lang w:bidi="ar-SA"/>
              </w:rPr>
            </w:pPr>
            <w:r w:rsidRPr="00FA0488">
              <w:rPr>
                <w:sz w:val="16"/>
                <w:szCs w:val="16"/>
                <w:lang w:bidi="ar-SA"/>
              </w:rPr>
              <w:t xml:space="preserve">** </w:t>
            </w:r>
            <w:r w:rsidRPr="00FA0488">
              <w:rPr>
                <w:i/>
                <w:iCs/>
                <w:sz w:val="16"/>
                <w:szCs w:val="16"/>
                <w:lang w:bidi="ar-SA"/>
              </w:rPr>
              <w:t>В соответствии с п. 5 ст.79 Федерального закона "Об акционерных обществах" от 26.12.1995 N 208-ФЗ в случае, если крупная сделка, предметом которой является имущество, стоимость которого составляет более 50 процентов балансовой стоимости активов общества, определенной по данным его бухгалтерской (финансовой) отчетности на последнюю отчетную дату, одновременно является сделкой, в совершении которой имеется заинтересованность, решение о согласии на совершение крупной сделки считается принятым, если за него отдано три четверти голосов акционеров - владельцев голосующих акций, принимающих участие в общем собрании акционеров, и большинство голосов всех не заинтересованных в сделке акционеров - владельцев голосующих акций, принимающих участие в общем собрании акционеров.</w:t>
            </w:r>
          </w:p>
          <w:p w:rsidR="00720EAE" w:rsidRPr="00AB6D56" w:rsidRDefault="00720EAE" w:rsidP="00720EAE">
            <w:pPr>
              <w:autoSpaceDE w:val="0"/>
              <w:autoSpaceDN w:val="0"/>
              <w:adjustRightInd w:val="0"/>
              <w:jc w:val="both"/>
              <w:outlineLvl w:val="3"/>
              <w:rPr>
                <w:color w:val="000000"/>
                <w:sz w:val="20"/>
                <w:szCs w:val="20"/>
              </w:rPr>
            </w:pPr>
            <w:r w:rsidRPr="00AB6D56">
              <w:rPr>
                <w:color w:val="000000"/>
                <w:sz w:val="20"/>
                <w:szCs w:val="20"/>
              </w:rPr>
              <w:t>2.7. Формулировки решений, приня</w:t>
            </w:r>
            <w:r>
              <w:rPr>
                <w:color w:val="000000"/>
                <w:sz w:val="20"/>
                <w:szCs w:val="20"/>
              </w:rPr>
              <w:t>тых Общим собранием акционеров П</w:t>
            </w:r>
            <w:r w:rsidRPr="00AB6D56">
              <w:rPr>
                <w:color w:val="000000"/>
                <w:sz w:val="20"/>
                <w:szCs w:val="20"/>
              </w:rPr>
              <w:t>АО «Наука-Связь»:</w:t>
            </w:r>
          </w:p>
          <w:p w:rsidR="00720EAE" w:rsidRDefault="00720EAE" w:rsidP="00720EAE">
            <w:pPr>
              <w:autoSpaceDE w:val="0"/>
              <w:autoSpaceDN w:val="0"/>
              <w:adjustRightInd w:val="0"/>
              <w:ind w:right="132"/>
              <w:jc w:val="both"/>
              <w:outlineLvl w:val="3"/>
              <w:rPr>
                <w:b/>
                <w:bCs/>
                <w:i/>
                <w:color w:val="000000"/>
                <w:sz w:val="20"/>
                <w:szCs w:val="20"/>
              </w:rPr>
            </w:pPr>
            <w:r w:rsidRPr="00AB6D56">
              <w:rPr>
                <w:b/>
                <w:bCs/>
                <w:i/>
                <w:color w:val="000000"/>
                <w:sz w:val="20"/>
                <w:szCs w:val="20"/>
              </w:rPr>
              <w:t xml:space="preserve">Принятое решение по первому вопросу повестки дня: </w:t>
            </w:r>
          </w:p>
          <w:p w:rsidR="00FA0488" w:rsidRPr="00FA0488" w:rsidRDefault="00FA0488" w:rsidP="00FA0488">
            <w:pPr>
              <w:widowControl/>
              <w:suppressAutoHyphens w:val="0"/>
              <w:jc w:val="both"/>
              <w:rPr>
                <w:sz w:val="20"/>
                <w:szCs w:val="20"/>
                <w:lang w:bidi="ar-SA"/>
              </w:rPr>
            </w:pPr>
            <w:r w:rsidRPr="00FA0488">
              <w:rPr>
                <w:sz w:val="20"/>
                <w:szCs w:val="20"/>
                <w:lang w:bidi="ar-SA"/>
              </w:rPr>
              <w:t>1. На основании заключения, одобренного Советом директоров ПАО «Наука-Связь» (Заключение от 22.04.2020 г.),  одобрить совершение крупной сделки, которая одновременно является сделкой, в совершении которой имеется заинтересованность членов Совета директоров Общества – Воронина Г.В., Калинина А.А., Кобызева С.О., Котельникова К.Ю., Никашкина Д.В., Руденко И.Ю., Семейко А.Л., Филькова А.Н., Чураковского В.А., поскольку указанные лица являются членами Совета директоров юридического лица, являющегося Выгодоприобретателем по сделке с ПАО Сбербанк, а также Генерального директора Общества Калинина А.А., поскольку он является Генеральным директором юридического лица, являющегося Выгодоприобретателем по сделке с ПАО Сбербанк,  а именно – заключение между Обществом и ПАО Сбербанк договора поручительства в качестве обеспечения исполнения обязательств Общества с ограниченной ответственностью «Наука-Связь» по договору об открытии возобновляемой кредитной линии, на условиях, изложенных в проекте указанного договора поручительства, прилагаемом к настоящему Протоколу в Приложении №1. Одобряемая настоящим решением сделка не нарушает интересы Общества, в том числе совершена на условиях, существенно не отличающихся от рыночных.</w:t>
            </w:r>
          </w:p>
          <w:p w:rsidR="00FA0488" w:rsidRPr="00FA0488" w:rsidRDefault="00FA0488" w:rsidP="00FA0488">
            <w:pPr>
              <w:widowControl/>
              <w:suppressAutoHyphens w:val="0"/>
              <w:jc w:val="both"/>
              <w:rPr>
                <w:sz w:val="20"/>
                <w:szCs w:val="20"/>
                <w:lang w:bidi="ar-SA"/>
              </w:rPr>
            </w:pPr>
            <w:r w:rsidRPr="00FA0488">
              <w:rPr>
                <w:sz w:val="20"/>
                <w:szCs w:val="20"/>
                <w:lang w:bidi="ar-SA"/>
              </w:rPr>
              <w:t>2. Предоставить полномочия Генеральному директору ПАО «Наука-Связь» Калинину Алексею Александровичу самостоятельно определять иные условия сделки, не предусмотренные настоящим Протоколом, а также полномочия на заключение от имени Общества соответствующей сделки в целях исполнения настоящего решения.</w:t>
            </w:r>
          </w:p>
          <w:p w:rsidR="00720EAE" w:rsidRDefault="00720EAE" w:rsidP="00720EAE">
            <w:pPr>
              <w:autoSpaceDE w:val="0"/>
              <w:autoSpaceDN w:val="0"/>
              <w:adjustRightInd w:val="0"/>
              <w:jc w:val="both"/>
              <w:outlineLvl w:val="3"/>
              <w:rPr>
                <w:b/>
                <w:bCs/>
                <w:i/>
                <w:color w:val="000000"/>
                <w:sz w:val="20"/>
                <w:szCs w:val="20"/>
              </w:rPr>
            </w:pPr>
            <w:r w:rsidRPr="00AB6D56">
              <w:rPr>
                <w:bCs/>
                <w:color w:val="000000"/>
                <w:sz w:val="20"/>
                <w:szCs w:val="20"/>
              </w:rPr>
              <w:t>2.8. Дата составления и номер Проток</w:t>
            </w:r>
            <w:r>
              <w:rPr>
                <w:bCs/>
                <w:color w:val="000000"/>
                <w:sz w:val="20"/>
                <w:szCs w:val="20"/>
              </w:rPr>
              <w:t>ола Общего собрания акционеров П</w:t>
            </w:r>
            <w:r w:rsidRPr="00AB6D56">
              <w:rPr>
                <w:bCs/>
                <w:color w:val="000000"/>
                <w:sz w:val="20"/>
                <w:szCs w:val="20"/>
              </w:rPr>
              <w:t xml:space="preserve">АО «Наука-Связь»: </w:t>
            </w:r>
            <w:r w:rsidR="00FA0488">
              <w:rPr>
                <w:b/>
                <w:bCs/>
                <w:i/>
                <w:color w:val="000000"/>
                <w:sz w:val="20"/>
                <w:szCs w:val="20"/>
              </w:rPr>
              <w:t>02.06</w:t>
            </w:r>
            <w:r w:rsidR="00A6044C">
              <w:rPr>
                <w:b/>
                <w:bCs/>
                <w:i/>
                <w:color w:val="000000"/>
                <w:sz w:val="20"/>
                <w:szCs w:val="20"/>
              </w:rPr>
              <w:t>.</w:t>
            </w:r>
            <w:r w:rsidR="00FA0488">
              <w:rPr>
                <w:b/>
                <w:bCs/>
                <w:i/>
                <w:color w:val="000000"/>
                <w:sz w:val="20"/>
                <w:szCs w:val="20"/>
              </w:rPr>
              <w:t>2020</w:t>
            </w:r>
            <w:r w:rsidR="00B06DB5">
              <w:rPr>
                <w:b/>
                <w:bCs/>
                <w:i/>
                <w:color w:val="000000"/>
                <w:sz w:val="20"/>
                <w:szCs w:val="20"/>
              </w:rPr>
              <w:t xml:space="preserve"> г., </w:t>
            </w:r>
            <w:r w:rsidR="00FA0488">
              <w:rPr>
                <w:b/>
                <w:bCs/>
                <w:i/>
                <w:color w:val="000000"/>
                <w:sz w:val="20"/>
                <w:szCs w:val="20"/>
              </w:rPr>
              <w:t>Протокол №01/20</w:t>
            </w:r>
            <w:r>
              <w:rPr>
                <w:b/>
                <w:bCs/>
                <w:i/>
                <w:color w:val="000000"/>
                <w:sz w:val="20"/>
                <w:szCs w:val="20"/>
              </w:rPr>
              <w:t>.</w:t>
            </w:r>
          </w:p>
          <w:p w:rsidR="008A54C2" w:rsidRPr="00750F60" w:rsidRDefault="00720EAE" w:rsidP="00750F60">
            <w:pPr>
              <w:autoSpaceDE w:val="0"/>
              <w:autoSpaceDN w:val="0"/>
              <w:adjustRightInd w:val="0"/>
              <w:jc w:val="both"/>
              <w:outlineLvl w:val="3"/>
              <w:rPr>
                <w:bCs/>
                <w:color w:val="000000"/>
                <w:sz w:val="20"/>
                <w:szCs w:val="20"/>
              </w:rPr>
            </w:pPr>
            <w:r w:rsidRPr="00CD6BE3">
              <w:rPr>
                <w:bCs/>
                <w:color w:val="000000"/>
                <w:sz w:val="20"/>
                <w:szCs w:val="20"/>
              </w:rPr>
              <w:t>2.9.</w:t>
            </w:r>
            <w:r>
              <w:t xml:space="preserve"> </w:t>
            </w:r>
            <w:r w:rsidRPr="00CD6BE3">
              <w:rPr>
                <w:bCs/>
                <w:color w:val="000000"/>
                <w:sz w:val="20"/>
                <w:szCs w:val="20"/>
              </w:rPr>
              <w:t>Идентификационные пр</w:t>
            </w:r>
            <w:r>
              <w:rPr>
                <w:bCs/>
                <w:color w:val="000000"/>
                <w:sz w:val="20"/>
                <w:szCs w:val="20"/>
              </w:rPr>
              <w:t xml:space="preserve">изнаки ценных бумаг эмитента: </w:t>
            </w:r>
            <w:r w:rsidRPr="00D120B9">
              <w:rPr>
                <w:b/>
                <w:bCs/>
                <w:i/>
                <w:color w:val="000000"/>
                <w:sz w:val="20"/>
                <w:szCs w:val="20"/>
              </w:rPr>
              <w:t>акции обыкновенные именные бездокументарные; государственный регистрационный номер выпуска-1-01-12689-А; дата государственной регистрации– 19.12.2007г.; международный код (номер) идентификации ценных бумаг (ISIN)– RU000A0GQLB6.</w:t>
            </w:r>
          </w:p>
        </w:tc>
      </w:tr>
      <w:tr w:rsidR="008A54C2" w:rsidRPr="00F00612" w:rsidTr="008A54C2">
        <w:trPr>
          <w:trHeight w:val="180"/>
        </w:trPr>
        <w:tc>
          <w:tcPr>
            <w:tcW w:w="10774" w:type="dxa"/>
            <w:shd w:val="clear" w:color="auto" w:fill="auto"/>
          </w:tcPr>
          <w:p w:rsidR="008A54C2" w:rsidRPr="00F00612" w:rsidRDefault="008A54C2" w:rsidP="008A54C2">
            <w:pPr>
              <w:autoSpaceDE w:val="0"/>
              <w:jc w:val="center"/>
              <w:rPr>
                <w:rFonts w:ascii="Times New Roman CYR" w:eastAsia="Times New Roman CYR" w:hAnsi="Times New Roman CYR" w:cs="Times New Roman CYR"/>
                <w:b/>
                <w:bCs/>
                <w:color w:val="000000"/>
                <w:sz w:val="22"/>
                <w:szCs w:val="22"/>
              </w:rPr>
            </w:pPr>
            <w:r w:rsidRPr="00F00612">
              <w:rPr>
                <w:rFonts w:ascii="Times New Roman CYR" w:eastAsia="Times New Roman CYR" w:hAnsi="Times New Roman CYR" w:cs="Times New Roman CYR"/>
                <w:b/>
                <w:bCs/>
                <w:color w:val="000000"/>
                <w:sz w:val="22"/>
                <w:szCs w:val="22"/>
              </w:rPr>
              <w:lastRenderedPageBreak/>
              <w:t>3. Подпись</w:t>
            </w:r>
          </w:p>
        </w:tc>
      </w:tr>
      <w:tr w:rsidR="008A54C2" w:rsidRPr="00F00612" w:rsidTr="008A54C2">
        <w:trPr>
          <w:trHeight w:val="1332"/>
        </w:trPr>
        <w:tc>
          <w:tcPr>
            <w:tcW w:w="10774" w:type="dxa"/>
            <w:shd w:val="clear" w:color="auto" w:fill="auto"/>
          </w:tcPr>
          <w:p w:rsidR="00720EAE" w:rsidRPr="00AB6D56" w:rsidRDefault="00720EAE" w:rsidP="00720EAE">
            <w:pPr>
              <w:autoSpaceDE w:val="0"/>
              <w:jc w:val="both"/>
              <w:rPr>
                <w:rFonts w:eastAsia="Times New Roman CYR"/>
                <w:color w:val="000000"/>
                <w:sz w:val="20"/>
                <w:szCs w:val="20"/>
              </w:rPr>
            </w:pPr>
            <w:r w:rsidRPr="00AB6D56">
              <w:rPr>
                <w:rFonts w:eastAsia="Times New Roman CYR"/>
                <w:color w:val="000000"/>
                <w:sz w:val="20"/>
                <w:szCs w:val="20"/>
              </w:rPr>
              <w:t xml:space="preserve">3.1. Генеральный директор </w:t>
            </w:r>
          </w:p>
          <w:p w:rsidR="00720EAE" w:rsidRPr="00AB6D56" w:rsidRDefault="00720EAE" w:rsidP="00720EAE">
            <w:pPr>
              <w:autoSpaceDE w:val="0"/>
              <w:jc w:val="both"/>
              <w:rPr>
                <w:rFonts w:eastAsia="Times New Roman CYR"/>
                <w:color w:val="000000"/>
                <w:sz w:val="20"/>
                <w:szCs w:val="20"/>
              </w:rPr>
            </w:pPr>
            <w:r>
              <w:rPr>
                <w:rFonts w:eastAsia="Times New Roman CYR"/>
                <w:color w:val="000000"/>
                <w:sz w:val="20"/>
                <w:szCs w:val="20"/>
              </w:rPr>
              <w:t>Публичного</w:t>
            </w:r>
            <w:r w:rsidRPr="00AB6D56">
              <w:rPr>
                <w:rFonts w:eastAsia="Times New Roman CYR"/>
                <w:color w:val="000000"/>
                <w:sz w:val="20"/>
                <w:szCs w:val="20"/>
              </w:rPr>
              <w:t xml:space="preserve"> акционерного Общества</w:t>
            </w:r>
          </w:p>
          <w:p w:rsidR="00720EAE" w:rsidRPr="00AB6D56" w:rsidRDefault="00720EAE" w:rsidP="00720EAE">
            <w:pPr>
              <w:autoSpaceDE w:val="0"/>
              <w:jc w:val="both"/>
              <w:rPr>
                <w:rFonts w:eastAsia="Times New Roman CYR"/>
                <w:color w:val="000000"/>
                <w:sz w:val="20"/>
                <w:szCs w:val="20"/>
              </w:rPr>
            </w:pPr>
            <w:r w:rsidRPr="00AB6D56">
              <w:rPr>
                <w:rFonts w:eastAsia="Times New Roman CYR"/>
                <w:color w:val="000000"/>
                <w:sz w:val="20"/>
                <w:szCs w:val="20"/>
              </w:rPr>
              <w:t xml:space="preserve">«Наука-Связь»                                                                            ______________          </w:t>
            </w:r>
            <w:r w:rsidR="000D7005">
              <w:rPr>
                <w:rFonts w:eastAsia="Times New Roman CYR"/>
                <w:color w:val="000000"/>
                <w:sz w:val="20"/>
                <w:szCs w:val="20"/>
              </w:rPr>
              <w:t>А.А.Калинин</w:t>
            </w:r>
          </w:p>
          <w:p w:rsidR="00720EAE" w:rsidRPr="00AB6D56" w:rsidRDefault="00720EAE" w:rsidP="00720EAE">
            <w:pPr>
              <w:autoSpaceDE w:val="0"/>
              <w:ind w:firstLine="709"/>
              <w:jc w:val="both"/>
              <w:rPr>
                <w:rFonts w:eastAsia="Courier New CYR"/>
                <w:color w:val="000000"/>
                <w:sz w:val="20"/>
                <w:szCs w:val="20"/>
              </w:rPr>
            </w:pPr>
          </w:p>
          <w:p w:rsidR="00720EAE" w:rsidRPr="00AB6D56" w:rsidRDefault="00720EAE" w:rsidP="00720EAE">
            <w:pPr>
              <w:autoSpaceDE w:val="0"/>
              <w:jc w:val="both"/>
              <w:rPr>
                <w:rFonts w:eastAsia="Times New Roman CYR"/>
                <w:color w:val="000000"/>
                <w:sz w:val="20"/>
                <w:szCs w:val="20"/>
              </w:rPr>
            </w:pPr>
            <w:r w:rsidRPr="00AB6D56">
              <w:rPr>
                <w:rFonts w:eastAsia="Times New Roman CYR"/>
                <w:color w:val="000000"/>
                <w:sz w:val="20"/>
                <w:szCs w:val="20"/>
              </w:rPr>
              <w:t>3.2. «</w:t>
            </w:r>
            <w:r w:rsidR="00FA0488">
              <w:rPr>
                <w:rFonts w:eastAsia="Times New Roman CYR"/>
                <w:color w:val="000000"/>
                <w:sz w:val="20"/>
                <w:szCs w:val="20"/>
              </w:rPr>
              <w:t>02</w:t>
            </w:r>
            <w:r w:rsidRPr="00AB6D56">
              <w:rPr>
                <w:rFonts w:eastAsia="Times New Roman CYR"/>
                <w:color w:val="000000"/>
                <w:sz w:val="20"/>
                <w:szCs w:val="20"/>
              </w:rPr>
              <w:t xml:space="preserve">» </w:t>
            </w:r>
            <w:r w:rsidR="00FA0488">
              <w:rPr>
                <w:rFonts w:eastAsia="Times New Roman CYR"/>
                <w:color w:val="000000"/>
                <w:sz w:val="20"/>
                <w:szCs w:val="20"/>
              </w:rPr>
              <w:t>июня 2020</w:t>
            </w:r>
            <w:r w:rsidRPr="00AB6D56">
              <w:rPr>
                <w:rFonts w:eastAsia="Times New Roman CYR"/>
                <w:color w:val="000000"/>
                <w:sz w:val="20"/>
                <w:szCs w:val="20"/>
              </w:rPr>
              <w:t xml:space="preserve"> г.                                                                        М.П.</w:t>
            </w:r>
          </w:p>
          <w:p w:rsidR="008A54C2" w:rsidRPr="00F00612" w:rsidRDefault="008A54C2" w:rsidP="00720EAE">
            <w:pPr>
              <w:autoSpaceDE w:val="0"/>
              <w:jc w:val="both"/>
              <w:rPr>
                <w:rFonts w:ascii="Courier New CYR" w:eastAsia="Courier New CYR" w:hAnsi="Courier New CYR" w:cs="Courier New CYR"/>
                <w:color w:val="000000"/>
                <w:sz w:val="20"/>
                <w:szCs w:val="20"/>
              </w:rPr>
            </w:pPr>
          </w:p>
        </w:tc>
      </w:tr>
      <w:bookmarkEnd w:id="0"/>
      <w:bookmarkEnd w:id="1"/>
      <w:bookmarkEnd w:id="2"/>
    </w:tbl>
    <w:p w:rsidR="002B5C71" w:rsidRPr="00F00612" w:rsidRDefault="002B5C71">
      <w:pPr>
        <w:autoSpaceDE w:val="0"/>
        <w:rPr>
          <w:rFonts w:ascii="Courier New CYR" w:eastAsia="Courier New CYR" w:hAnsi="Courier New CYR" w:cs="Courier New CYR"/>
          <w:color w:val="000000"/>
        </w:rPr>
      </w:pPr>
    </w:p>
    <w:sectPr w:rsidR="002B5C71" w:rsidRPr="00F00612">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72916"/>
    <w:multiLevelType w:val="hybridMultilevel"/>
    <w:tmpl w:val="09A687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B4A1940"/>
    <w:multiLevelType w:val="hybridMultilevel"/>
    <w:tmpl w:val="F5FC4D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0D134E8"/>
    <w:multiLevelType w:val="hybridMultilevel"/>
    <w:tmpl w:val="7D1ABF6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7A52EB3"/>
    <w:multiLevelType w:val="hybridMultilevel"/>
    <w:tmpl w:val="91620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BC74E12"/>
    <w:multiLevelType w:val="hybridMultilevel"/>
    <w:tmpl w:val="CD720F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D83276D"/>
    <w:multiLevelType w:val="hybridMultilevel"/>
    <w:tmpl w:val="80047C26"/>
    <w:lvl w:ilvl="0" w:tplc="0419000F">
      <w:start w:val="1"/>
      <w:numFmt w:val="decimal"/>
      <w:lvlText w:val="%1."/>
      <w:lvlJc w:val="left"/>
      <w:pPr>
        <w:tabs>
          <w:tab w:val="num" w:pos="720"/>
        </w:tabs>
        <w:ind w:left="720" w:hanging="360"/>
      </w:pPr>
      <w:rPr>
        <w:rFonts w:hint="default"/>
      </w:rPr>
    </w:lvl>
    <w:lvl w:ilvl="1" w:tplc="2958925E">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64085A32"/>
    <w:multiLevelType w:val="hybridMultilevel"/>
    <w:tmpl w:val="C90AF75C"/>
    <w:lvl w:ilvl="0" w:tplc="2250AC26">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B4E6273"/>
    <w:multiLevelType w:val="hybridMultilevel"/>
    <w:tmpl w:val="02FCD3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7"/>
  </w:num>
  <w:num w:numId="4">
    <w:abstractNumId w:val="3"/>
  </w:num>
  <w:num w:numId="5">
    <w:abstractNumId w:val="2"/>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25A"/>
    <w:rsid w:val="000262E8"/>
    <w:rsid w:val="00057957"/>
    <w:rsid w:val="00084D18"/>
    <w:rsid w:val="000958DD"/>
    <w:rsid w:val="000D7005"/>
    <w:rsid w:val="000E624D"/>
    <w:rsid w:val="000F1864"/>
    <w:rsid w:val="0013464E"/>
    <w:rsid w:val="00200C76"/>
    <w:rsid w:val="00205C85"/>
    <w:rsid w:val="00206952"/>
    <w:rsid w:val="00227C34"/>
    <w:rsid w:val="002563BB"/>
    <w:rsid w:val="00264CC8"/>
    <w:rsid w:val="002A508E"/>
    <w:rsid w:val="002B5C71"/>
    <w:rsid w:val="0033798E"/>
    <w:rsid w:val="00360479"/>
    <w:rsid w:val="00367264"/>
    <w:rsid w:val="003817C2"/>
    <w:rsid w:val="003D7CFD"/>
    <w:rsid w:val="003F0F7F"/>
    <w:rsid w:val="003F6932"/>
    <w:rsid w:val="00423534"/>
    <w:rsid w:val="004718B0"/>
    <w:rsid w:val="004C5045"/>
    <w:rsid w:val="004F5FCF"/>
    <w:rsid w:val="005B5889"/>
    <w:rsid w:val="005D38BE"/>
    <w:rsid w:val="00675450"/>
    <w:rsid w:val="006D1B84"/>
    <w:rsid w:val="006F7A14"/>
    <w:rsid w:val="00714AF6"/>
    <w:rsid w:val="00720EAE"/>
    <w:rsid w:val="007449AE"/>
    <w:rsid w:val="00750F60"/>
    <w:rsid w:val="007E61F7"/>
    <w:rsid w:val="00812231"/>
    <w:rsid w:val="00892F89"/>
    <w:rsid w:val="00897441"/>
    <w:rsid w:val="008A54C2"/>
    <w:rsid w:val="008F1757"/>
    <w:rsid w:val="008F397B"/>
    <w:rsid w:val="00967B67"/>
    <w:rsid w:val="0097237C"/>
    <w:rsid w:val="00972BFD"/>
    <w:rsid w:val="009B4C82"/>
    <w:rsid w:val="00A16685"/>
    <w:rsid w:val="00A209EE"/>
    <w:rsid w:val="00A479C0"/>
    <w:rsid w:val="00A6044C"/>
    <w:rsid w:val="00A71DB2"/>
    <w:rsid w:val="00A75A44"/>
    <w:rsid w:val="00AC3183"/>
    <w:rsid w:val="00B06DB5"/>
    <w:rsid w:val="00BB76DB"/>
    <w:rsid w:val="00C100DD"/>
    <w:rsid w:val="00CB2905"/>
    <w:rsid w:val="00D14B00"/>
    <w:rsid w:val="00D3225A"/>
    <w:rsid w:val="00D63451"/>
    <w:rsid w:val="00E002D9"/>
    <w:rsid w:val="00E57FB6"/>
    <w:rsid w:val="00E77342"/>
    <w:rsid w:val="00E84EBE"/>
    <w:rsid w:val="00E93A03"/>
    <w:rsid w:val="00F00612"/>
    <w:rsid w:val="00F43428"/>
    <w:rsid w:val="00F77BB0"/>
    <w:rsid w:val="00F84F03"/>
    <w:rsid w:val="00FA0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EBF3302-C69D-4E6A-81E4-5CE3143C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Subst">
    <w:name w:val="Subst"/>
    <w:rPr>
      <w:b/>
      <w:bCs/>
      <w:i/>
      <w:iCs/>
    </w:rPr>
  </w:style>
  <w:style w:type="character" w:styleId="a3">
    <w:name w:val="Hyperlink"/>
    <w:rPr>
      <w:color w:val="000080"/>
      <w:u w:val="single"/>
    </w:rPr>
  </w:style>
  <w:style w:type="paragraph" w:customStyle="1" w:styleId="a4">
    <w:name w:val="Заголовок"/>
    <w:basedOn w:val="a"/>
    <w:next w:val="a5"/>
    <w:pPr>
      <w:keepNext/>
      <w:spacing w:before="240" w:after="120"/>
    </w:pPr>
    <w:rPr>
      <w:rFonts w:ascii="Arial" w:eastAsia="Microsoft YaHei" w:hAnsi="Arial" w:cs="Mangal"/>
      <w:sz w:val="28"/>
      <w:szCs w:val="28"/>
    </w:rPr>
  </w:style>
  <w:style w:type="paragraph" w:styleId="a5">
    <w:name w:val="Body Text"/>
    <w:basedOn w:val="a"/>
    <w:pPr>
      <w:spacing w:after="120"/>
    </w:pPr>
  </w:style>
  <w:style w:type="paragraph" w:styleId="a6">
    <w:name w:val="List"/>
    <w:basedOn w:val="a5"/>
    <w:rPr>
      <w:rFonts w:ascii="Arial" w:hAnsi="Arial" w:cs="Mangal"/>
    </w:rPr>
  </w:style>
  <w:style w:type="paragraph" w:customStyle="1" w:styleId="10">
    <w:name w:val="Название1"/>
    <w:basedOn w:val="a"/>
    <w:pPr>
      <w:suppressLineNumbers/>
      <w:spacing w:before="120" w:after="120"/>
    </w:pPr>
    <w:rPr>
      <w:rFonts w:ascii="Arial" w:hAnsi="Arial" w:cs="Mangal"/>
      <w:i/>
      <w:iCs/>
      <w:sz w:val="20"/>
    </w:rPr>
  </w:style>
  <w:style w:type="paragraph" w:customStyle="1" w:styleId="11">
    <w:name w:val="Указатель1"/>
    <w:basedOn w:val="a"/>
    <w:pPr>
      <w:suppressLineNumbers/>
    </w:pPr>
    <w:rPr>
      <w:rFonts w:ascii="Arial" w:hAnsi="Arial" w:cs="Mangal"/>
    </w:rPr>
  </w:style>
  <w:style w:type="paragraph" w:customStyle="1" w:styleId="SubHeading">
    <w:name w:val="Sub Heading"/>
    <w:next w:val="a"/>
    <w:pPr>
      <w:widowControl w:val="0"/>
      <w:suppressAutoHyphens/>
      <w:autoSpaceDE w:val="0"/>
      <w:spacing w:before="240" w:after="40"/>
    </w:pPr>
    <w:rPr>
      <w:lang w:bidi="ru-RU"/>
    </w:rPr>
  </w:style>
  <w:style w:type="paragraph" w:customStyle="1" w:styleId="prilozhenie">
    <w:name w:val="prilozhenie"/>
    <w:basedOn w:val="a"/>
    <w:pPr>
      <w:ind w:firstLine="709"/>
      <w:jc w:val="both"/>
    </w:p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customStyle="1" w:styleId="ConsNormal">
    <w:name w:val="ConsNormal"/>
    <w:rsid w:val="004F5FCF"/>
    <w:pPr>
      <w:widowControl w:val="0"/>
      <w:autoSpaceDE w:val="0"/>
      <w:autoSpaceDN w:val="0"/>
      <w:adjustRightInd w:val="0"/>
      <w:ind w:firstLine="720"/>
    </w:pPr>
    <w:rPr>
      <w:rFonts w:ascii="Arial" w:hAnsi="Arial" w:cs="Arial"/>
      <w:sz w:val="22"/>
      <w:szCs w:val="22"/>
    </w:rPr>
  </w:style>
  <w:style w:type="paragraph" w:customStyle="1" w:styleId="a9">
    <w:name w:val="Знак Знак Знак Знак"/>
    <w:basedOn w:val="a"/>
    <w:rsid w:val="00812231"/>
    <w:pPr>
      <w:widowControl/>
      <w:suppressAutoHyphens w:val="0"/>
    </w:pPr>
    <w:rPr>
      <w:sz w:val="20"/>
      <w:szCs w:val="20"/>
      <w:lang w:val="en-US" w:eastAsia="en-US" w:bidi="ar-SA"/>
    </w:rPr>
  </w:style>
  <w:style w:type="table" w:styleId="-1">
    <w:name w:val="Table Web 1"/>
    <w:basedOn w:val="a1"/>
    <w:rsid w:val="006F7A14"/>
    <w:pPr>
      <w:widowControl w:val="0"/>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a">
    <w:name w:val="Table Grid"/>
    <w:basedOn w:val="a1"/>
    <w:uiPriority w:val="59"/>
    <w:rsid w:val="00E57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rsid w:val="00E57FB6"/>
    <w:pPr>
      <w:widowControl w:val="0"/>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b">
    <w:name w:val="Balloon Text"/>
    <w:basedOn w:val="a"/>
    <w:semiHidden/>
    <w:rsid w:val="00F00612"/>
    <w:rPr>
      <w:rFonts w:ascii="Tahoma" w:hAnsi="Tahoma" w:cs="Tahoma"/>
      <w:sz w:val="16"/>
      <w:szCs w:val="16"/>
    </w:rPr>
  </w:style>
  <w:style w:type="character" w:styleId="ac">
    <w:name w:val="Strong"/>
    <w:uiPriority w:val="22"/>
    <w:qFormat/>
    <w:rsid w:val="0033798E"/>
    <w:rPr>
      <w:b/>
      <w:bCs/>
    </w:rPr>
  </w:style>
  <w:style w:type="paragraph" w:styleId="2">
    <w:name w:val="Body Text Indent 2"/>
    <w:basedOn w:val="a"/>
    <w:link w:val="20"/>
    <w:rsid w:val="00205C85"/>
    <w:pPr>
      <w:widowControl/>
      <w:suppressAutoHyphens w:val="0"/>
      <w:spacing w:after="120" w:line="480" w:lineRule="auto"/>
      <w:ind w:left="283"/>
    </w:pPr>
    <w:rPr>
      <w:lang w:bidi="ar-SA"/>
    </w:rPr>
  </w:style>
  <w:style w:type="character" w:customStyle="1" w:styleId="20">
    <w:name w:val="Основной текст с отступом 2 Знак"/>
    <w:link w:val="2"/>
    <w:rsid w:val="00205C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66238">
      <w:bodyDiv w:val="1"/>
      <w:marLeft w:val="0"/>
      <w:marRight w:val="0"/>
      <w:marTop w:val="0"/>
      <w:marBottom w:val="0"/>
      <w:divBdr>
        <w:top w:val="none" w:sz="0" w:space="0" w:color="auto"/>
        <w:left w:val="none" w:sz="0" w:space="0" w:color="auto"/>
        <w:bottom w:val="none" w:sz="0" w:space="0" w:color="auto"/>
        <w:right w:val="none" w:sz="0" w:space="0" w:color="auto"/>
      </w:divBdr>
    </w:div>
    <w:div w:id="104098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0639" TargetMode="External"/><Relationship Id="rId5" Type="http://schemas.openxmlformats.org/officeDocument/2006/relationships/hyperlink" Target="http://www.oaons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2</Pages>
  <Words>1071</Words>
  <Characters>6106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Сообщение о существенном факте</vt:lpstr>
    </vt:vector>
  </TitlesOfParts>
  <Company>2</Company>
  <LinksUpToDate>false</LinksUpToDate>
  <CharactersWithSpaces>7163</CharactersWithSpaces>
  <SharedDoc>false</SharedDoc>
  <HLinks>
    <vt:vector size="12" baseType="variant">
      <vt:variant>
        <vt:i4>2097274</vt:i4>
      </vt:variant>
      <vt:variant>
        <vt:i4>3</vt:i4>
      </vt:variant>
      <vt:variant>
        <vt:i4>0</vt:i4>
      </vt:variant>
      <vt:variant>
        <vt:i4>5</vt:i4>
      </vt:variant>
      <vt:variant>
        <vt:lpwstr>http://www.e-disclosure.ru/portal/company.aspx?id=20639</vt:lpwstr>
      </vt:variant>
      <vt:variant>
        <vt:lpwstr/>
      </vt:variant>
      <vt:variant>
        <vt:i4>196699</vt:i4>
      </vt:variant>
      <vt:variant>
        <vt:i4>0</vt:i4>
      </vt:variant>
      <vt:variant>
        <vt:i4>0</vt:i4>
      </vt:variant>
      <vt:variant>
        <vt:i4>5</vt:i4>
      </vt:variant>
      <vt:variant>
        <vt:lpwstr>http://www.oaonsv.ru/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 о существенном факте</dc:title>
  <dc:subject/>
  <dc:creator>1</dc:creator>
  <cp:keywords/>
  <dc:description/>
  <cp:lastModifiedBy>Екатерина Ю. Крылова</cp:lastModifiedBy>
  <cp:revision>10</cp:revision>
  <cp:lastPrinted>2015-05-05T12:32:00Z</cp:lastPrinted>
  <dcterms:created xsi:type="dcterms:W3CDTF">2012-11-01T11:10:00Z</dcterms:created>
  <dcterms:modified xsi:type="dcterms:W3CDTF">2020-06-02T15:39:00Z</dcterms:modified>
</cp:coreProperties>
</file>